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https://www.cnmc.es/expedientes/c126922</w:t>
      </w:r>
    </w:p>
    <w:p>
      <w:r>
        <w:t>Pages translated : 1</w:t>
      </w:r>
    </w:p>
    <w:p/>
    <w:p>
      <w:r>
        <w:rPr>
          <w:b/>
        </w:rPr>
        <w:t>[Pages 1–1]</w:t>
      </w:r>
    </w:p>
    <w:p>
      <w:r>
        <w:t xml:space="preserve">C/1269/22  </w:t>
        <w:br/>
        <w:t xml:space="preserve">KINGSPAIN/THU PERFIL  </w:t>
        <w:br/>
        <w:t xml:space="preserve">RESOLUTION  </w:t>
        <w:br/>
        <w:t xml:space="preserve">KINGSPAIN / THU PERFIL  </w:t>
        <w:br/>
        <w:t xml:space="preserve">(C/1269/22)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 2022</w:t>
      </w:r>
    </w:p>
    <w:p>
      <w:r>
        <w:t>The Competition Chamber has analyzed the merger file processed in accordance with Law 15/2007, of July 3, on the Defense of Competition, consisting of the acquisition by KINGSPAIN of exclusive control over THU PERFIL.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