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https://www.cnmc.es/expedientes/c127122</w:t>
      </w:r>
    </w:p>
    <w:p>
      <w:r>
        <w:t>Pages translated : 1</w:t>
      </w:r>
    </w:p>
    <w:p/>
    <w:p>
      <w:r>
        <w:rPr>
          <w:b/>
        </w:rPr>
        <w:t>[Pages 1–1]</w:t>
      </w:r>
    </w:p>
    <w:p>
      <w:r>
        <w:t>C/1271/22 ALBIA / TANATORIO DE MARÍN RESOLUTION ALBIA / TANATORIO DE MARÍN (C/1271/22) COUNCIL. COMPETITION CHAMBER President Ms. Cani Fernández Vicién Councilors Ms. María Ortiz Aguilar Ms. María Pilar Canedo Arrillaga Mr. Carlos Aguilar Paredes Mr. Josep Maria Salas Prat Secretary of the Council Mr. Miguel Bordiu Garcia-Ovies In Madrid, April 11, 2022 The Competition Chamber has analyzed the concentration file processed in accordance with Law 15/2007, of July 3, on the Defense of Competition, consisting of the exclusive control acquisition of TANATORIO DE MARÍN, S.L. by ALBIA GESTIÓN DE SERVICIOS, S.L.U. ("ALBIA"). In accordance with the report and proposal submitted by the Competition Directorate, the Competition Chamber has resolved, pursuant to Article 57.2.a) of the aforementioned Law 15/2007, of July 3, to authorize the aforementioned concentration operation.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INTERNAL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