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https://www.cnmc.es/expedientes/c127222</w:t>
      </w:r>
    </w:p>
    <w:p>
      <w:r>
        <w:t>Pages translated : 2</w:t>
      </w:r>
    </w:p>
    <w:p/>
    <w:p>
      <w:r>
        <w:rPr>
          <w:b/>
        </w:rPr>
        <w:t>[Pages 1–2]</w:t>
      </w:r>
    </w:p>
    <w:p>
      <w:r>
        <w:t xml:space="preserve">C/1272/22  </w:t>
        <w:br/>
        <w:t xml:space="preserve">ALBIA/FUNERARIAS CANARIAS  </w:t>
        <w:br/>
        <w:t xml:space="preserve">RESOLUTION  </w:t>
        <w:br/>
        <w:t xml:space="preserve">ALBIA/FUNERARIAS CANARIAS  </w:t>
        <w:br/>
        <w:t xml:space="preserve">(C/1272/22)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February 23, 2022</w:t>
      </w:r>
    </w:p>
    <w:p>
      <w:r>
        <w:t>The Competition Chamber has analyzed the merger file processed in accordance with Law 15/2007, of July 3, on the Defense of Competition, consisting of the acquisition of exclusive control of POMPAS FÚNEBRES TENERIFE, S.L., POMPAS FÚNEBRES LA SOLEDAD, S.L., and TANATORIO SAN MIGUEL, S.L. by ALBIA GESTIÓN DE SERVICIOS, S.L.U. ("ALBIA"). In accordance with the report and proposal submitted by the Competition Directorate, the Competition Chamber has resolved, applying Article 57.2.a) of the aforementioned Law 15/2007, of July 3, to authorize the said merger operation.</w:t>
      </w:r>
    </w:p>
    <w:p>
      <w: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geographical scope of the non-compete clauses (insofar as it exceeds the municipalities affected by the operation or, where applicable, the areas of influence defined in each case in the report of the Competition Directorate) and their content (regarding the limitation imposed on the seller from holding shares in competing companies) go beyond what is reasonably required by the notified merger operation, and are therefore subject to the general regulations applicable to agreements between companies. All of this 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National Commission on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