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https://www.cnmc.es/expedientes/c127322</w:t>
      </w:r>
    </w:p>
    <w:p>
      <w:r>
        <w:t>Pages translated : 1</w:t>
      </w:r>
    </w:p>
    <w:p/>
    <w:p>
      <w:r>
        <w:rPr>
          <w:b/>
        </w:rPr>
        <w:t>[Pages 1–1]</w:t>
      </w:r>
    </w:p>
    <w:p>
      <w:r>
        <w:t xml:space="preserve">C/1273/22  </w:t>
        <w:br/>
        <w:t xml:space="preserve">SOUTHWIND/JOYE MEDIA  </w:t>
        <w:br/>
        <w:t xml:space="preserve">RESOLUTION  </w:t>
        <w:br/>
        <w:t xml:space="preserve">SOUTHWIND/JOYE MEDIA  </w:t>
        <w:br/>
        <w:t xml:space="preserve">(C/1273/22)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Barcelona, March 2, 2022  </w:t>
        <w:br/>
        <w:t xml:space="preserve">The Competition Chamber has analyzed the concentration file processed in accordance with Law 15/2007, of July 3, on the Defense of Competition, consisting of the acquisition by SOUTHWIND GROUP LIMITED (SOUTHWIND) of exclusive control of JOYE MEDIA S.L. (JOYE MEDIA), the parent company of the IMAGINA MEDIA AUDOVISUAL S.L. group (IMAGINA group). The operation is carried out through the signing of a new shareholders' agreement, the injection of capital by SOUTHWIND, and the subscription of shares in its favor that grant it 70% of the share capital and exclusive control of JOYE MEDIA. In accordance with the report and proposal submitted by the Competition Directorate, the Competition Chamber has resolved, under Article 57.2.a) of the aforementioned Law 15/2007, of July 3, to authorize the aforementioned concentration operation.  </w:t>
        <w:br/>
        <w:t xml:space="preserve">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