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https://www.cnmc.es/expedientes/c127422</w:t>
      </w:r>
    </w:p>
    <w:p>
      <w:r>
        <w:t>Pages translated : 2</w:t>
      </w:r>
    </w:p>
    <w:p/>
    <w:p>
      <w:r>
        <w:rPr>
          <w:b/>
        </w:rPr>
        <w:t>[Pages 1–2]</w:t>
      </w:r>
    </w:p>
    <w:p>
      <w:r>
        <w:t>C/1274/22 ALBIA / JORDIAL (Assets) RESOLUTION VOTORANTIM / HEIDELBERG ASSETS (C/1274/22) COUNCIL. COMPETITION CHAMBER President Ms. Cani Fernández Vicién Councilors Ms. María Ortiz Aguilar Ms. María Pilar Canedo Arrillaga Mr. Carlos Aguilar Paredes Mr. Josep Maria Salas Prat Secretary of the Council Mr. Miguel Bordiu Garcia-Ovies In Madrid, April 11, 2022 The Competition Chamber has analyzed the concentration file processed in accordance with Law 15/2007, of July 3, on the Defense of Competition, consisting of the acquisition by VOTORANTIM CEMENTOS ESPAÑA (hereinafter "the Acquirer" or "the Notifier"), of exclusive control of the aggregate business lines owned by Compañía General de Canteras, S.A. (hereinafter "CGC"), of cement owned by Sociedad Financiera y Minera, S.A. (hereinafter "SFYM") and of concrete and dry mortar owned by Hanson Hispania Hormigones, S.L. (hereinafter "HHH") in southern Spain owned by HeidelbergCement Group (hereinafter "HEIDELBERG GROUP"). In accordance with the report and proposal submitted by the Competition Directorate, the Competition Chamber has resolved, applying Article 57.2.a) of the aforementioned Law 15/2007, of July 3, to authorize the aforementioned concentration operation. Likewise, it is appropriate to analyze the operation taking into account the INTERNAL Communication of the European Commission on restrictions directly linked to the execution of a concentration and necessary for that purpose (2005/C 56/03) and the practice of national competition authorities. This Chamber considers that the duration of the non-compete and non-solicitation clauses is neither necessary nor ancillary to the present operation, being subject to the regulations on agreements between companies, insofar as it exceeds the two (2) years set forth in the aforementioned Communication, that the parties operate in the same markets and without the operation leading to a significant transfer of know-how that justifies its duration beyond that period.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INTERNAL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