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https://www.cnmc.es/expedientes/c127522</w:t>
      </w:r>
    </w:p>
    <w:p>
      <w:r>
        <w:t>Pages translated : 2</w:t>
      </w:r>
    </w:p>
    <w:p/>
    <w:p>
      <w:r>
        <w:rPr>
          <w:b/>
        </w:rPr>
        <w:t>[Pages 1–2]</w:t>
      </w:r>
    </w:p>
    <w:p>
      <w:r>
        <w:t xml:space="preserve">C/1275/22  </w:t>
        <w:br/>
        <w:t xml:space="preserve">FBLAUX/FUNCANTABRIA  </w:t>
        <w:br/>
        <w:t xml:space="preserve">RESOLUTION  </w:t>
        <w:br/>
        <w:t xml:space="preserve">FBLAUX/FUNCANTABRIA  </w:t>
        <w:br/>
        <w:t xml:space="preserve">(C/1275/22)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16, 2022</w:t>
      </w:r>
    </w:p>
    <w:p>
      <w:r>
        <w:t>The Competition Chamber has analyzed the concentration file processed in accordance with Law 15/2007, of July 3, on the Defense of Competition, consisting of the exclusive control acquisition by Funeraria Merino Díez, S.L.U. (hereinafter, MERINO) of exclusive control over Funcantabria Servicios Funerarios, S.L. (hereinafter, FUNCANTABRIA). In accordance with the report and proposal submitted by the Competition Directorate, the Competition Chamber has resolved, applying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geographical scope of the Non-Competition Clause and the extension to the buyer of the confidentiality obligation are not considered ancillary restrictions, thus remaining subject to the general regulations applicable to agreements between companies.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C/1275/22  </w:t>
        <w:br/>
        <w:t xml:space="preserve">FBLAUX/FUNCANTABRIA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