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https://www.cnmc.es/expedientes/c127622</w:t>
      </w:r>
    </w:p>
    <w:p>
      <w:r>
        <w:t>Pages translated : 1</w:t>
      </w:r>
    </w:p>
    <w:p/>
    <w:p>
      <w:r>
        <w:rPr>
          <w:b/>
        </w:rPr>
        <w:t>[Pages 1–1]</w:t>
      </w:r>
    </w:p>
    <w:p>
      <w:r>
        <w:t xml:space="preserve">C/1276/22  </w:t>
        <w:br/>
        <w:t xml:space="preserve">GRIFOLS/BIOTEST  </w:t>
        <w:br/>
        <w:t xml:space="preserve">RESOLUTION  </w:t>
        <w:br/>
        <w:t xml:space="preserve">GRIFOLS/BIOTEST  </w:t>
        <w:br/>
        <w:t xml:space="preserve">(C/1276/22)  </w:t>
        <w:br/>
        <w:t>COUNCIL. COMPETITION CHAMBER</w:t>
      </w:r>
    </w:p>
    <w:p>
      <w:r>
        <w:t xml:space="preserve">President  </w:t>
        <w:br/>
        <w:t>Ms. Cani Fernández Vicién</w:t>
      </w:r>
    </w:p>
    <w:p>
      <w:r>
        <w:t xml:space="preserve">Council Members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Barcelona, March 2, 2022</w:t>
      </w:r>
    </w:p>
    <w:p>
      <w:r>
        <w:t>The Competition Chamber has analyzed the merger file processed in accordance with Law 15/2007, of July 3, on the Defense of Competition, consisting of the acquisition by GRIFOLS of indirect control of BIOTEST, through the acquisition of 100% of the share capital of the company Tiancheng (Germany) Pharmaceutical Holdings AG (hereinafter, HOLDCO), 100% owned by the company Tiancheng International Investment (seller). In accordance with the report and proposal submitted by the Directorate of Competition, the Competition Chamber has resolved, applying Article 57.2.a)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