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https://www.cnmc.es/expedientes/c127722</w:t>
      </w:r>
    </w:p>
    <w:p>
      <w:r>
        <w:t>Pages translated : 2</w:t>
      </w:r>
    </w:p>
    <w:p/>
    <w:p>
      <w:r>
        <w:rPr>
          <w:b/>
        </w:rPr>
        <w:t>[Pages 1–2]</w:t>
      </w:r>
    </w:p>
    <w:p>
      <w:r>
        <w:t xml:space="preserve">C/1277/22  </w:t>
        <w:br/>
        <w:t xml:space="preserve">CASTILLA HOLDING/GRUPO ITEVELESA  </w:t>
        <w:br/>
        <w:t xml:space="preserve">RESOLUTION  </w:t>
        <w:br/>
        <w:t xml:space="preserve">CASTILLA HOLDING/GRUPO ITEVELESA  </w:t>
        <w:br/>
        <w:t xml:space="preserve">(C/1277/22)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23, 2022</w:t>
      </w:r>
    </w:p>
    <w:p>
      <w:r>
        <w:t>The Competition Chamber has analyzed the concentration file processed in accordance with Law 15/2007, of July 3, on the Defense of Competition, consisting of the acquisition of exclusive control by EUROPEAN VEHICLE SAFETY SPAIN 1, S.A. (EVSS), a Spanish company holding 100% of the shares of the entity Grupo ITEVELESA, S.L, (Grupo ITEVELESA) by Castilla Holding, B.V. (CASTILLA HOLDING). In accordance with the report and proposal submitted by the Directorate of Competition, the Competition Chamber has resolved, under the application of Article 57.2.a) of the aforementioned Law 15/2007, of July 3, to authorize the said concentration operation.</w:t>
      </w:r>
    </w:p>
    <w:p>
      <w: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regarding the non-solicitation clause, its geographical scope (in all that exceeds the provinces where the Seller is present) and the extension to the buyer of the confidentiality obligation, are not considered ancillary restrictions, thus remaining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