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https://www.cnmc.es/expedientes/c127822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C/1278/22  </w:t>
        <w:br/>
        <w:t xml:space="preserve">VALL COMPANYS / INVERSIONES  </w:t>
        <w:br/>
        <w:t xml:space="preserve">CÁRNICAS DE LA VEGA  </w:t>
        <w:br/>
        <w:t xml:space="preserve">RESOLUTION  </w:t>
        <w:br/>
        <w:t xml:space="preserve">VALL COMPANYS / INVERSIONES CÁRNICAS DE LA VEGA  </w:t>
        <w:br/>
        <w:t xml:space="preserve">(C/1278/22)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María Ortiz Aguilar  </w:t>
        <w:br/>
        <w:t xml:space="preserve">Ms. María Pilar Canedo Arrillaga  </w:t>
        <w:br/>
        <w:t xml:space="preserve">Mr. Carlos Aguilar Paredes  </w:t>
        <w:br/>
        <w:t xml:space="preserve">Mr. Josep Maria Salas Prat  </w:t>
        <w:br/>
        <w:t xml:space="preserve">Secretary of the Council  </w:t>
        <w:br/>
        <w:t xml:space="preserve">Mr. Miguel Bordiu García-Ovies  </w:t>
        <w:br/>
        <w:t xml:space="preserve">In Madrid, February 23, 2022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of exclusive control by VALL  </w:t>
        <w:br/>
        <w:t xml:space="preserve">COMPANYS, S.A.U. (hereinafter "VALL COMPANYS"), of the company  </w:t>
        <w:br/>
        <w:t xml:space="preserve">Inversiones Cárnicas de la Vega S.L. (hereinafter "ICV"). In accordance with the  </w:t>
        <w:br/>
        <w:t xml:space="preserve">report and proposal submitted by the Directorate of Competition, the Competition Chamber has resolved, applying Article 57.2.a) of the aforementioned Law 15/2007, of July 3, to authorize the aforementioned concentration operation.  </w:t>
        <w:br/>
        <w:t xml:space="preserve">This Resolution shall be communicated to the Directorate of Competition of the  </w:t>
        <w:br/>
        <w:t xml:space="preserve">National Commission of Markets and Competition and notified to the interested party,  </w:t>
        <w:br/>
        <w:t xml:space="preserve">informing them that it concludes the administrative procedure and that a  </w:t>
        <w:br/>
        <w:t xml:space="preserve">contentious-administrative appeal may be filed against it before the National Court,  </w:t>
        <w:br/>
        <w:t xml:space="preserve">within two months from the day following its notification.  </w:t>
        <w:br/>
        <w:t xml:space="preserve">National Commission of Markets and Competition 1 of 1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