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https://www.cnmc.es/expedientes/c127922</w:t>
      </w:r>
    </w:p>
    <w:p>
      <w:r>
        <w:t>Pages translated : 2</w:t>
      </w:r>
    </w:p>
    <w:p/>
    <w:p>
      <w:r>
        <w:rPr>
          <w:b/>
        </w:rPr>
        <w:t>[Pages 1–2]</w:t>
      </w:r>
    </w:p>
    <w:p>
      <w:r>
        <w:t xml:space="preserve">C/1279/22  </w:t>
        <w:br/>
        <w:t xml:space="preserve">ERGON / SATLINK  </w:t>
        <w:br/>
        <w:t xml:space="preserve">RESOLUTION  </w:t>
        <w:br/>
        <w:t xml:space="preserve">ERGON / SATLINK  </w:t>
        <w:br/>
        <w:t xml:space="preserve">(C/1279/22)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Deputy Secretary of the Council  </w:t>
        <w:br/>
        <w:t>Ms. María Ángeles Rodríguez Paraja</w:t>
      </w:r>
    </w:p>
    <w:p>
      <w:r>
        <w:t>In Madrid, March 9, 2022</w:t>
      </w:r>
    </w:p>
    <w:p>
      <w:r>
        <w:t>The Competition Chamber has analyzed the merger file processed in accordance with Law 15/2007, of July 3, on the Defense of Competition, consisting of the acquisition by Dunedin Europe S.L., an investment vehicle controlled by the private equity investment fund ECP V, managed by Ergon Capital Management S.A. (ERGON), of exclusive control over Satlink S.L. and all its controlled companies (SATLINK) through a purchase agreement signed on December 31, 2021. In accordance with the report and proposal submitted by the Competition Directorate, the Competition Chamber has resolved, applying Article 57.2.a) of the aforementioned Law 15/2007, of July 3, to authorize the aforementioned merger operation.</w:t>
      </w:r>
    </w:p>
    <w:p>
      <w:r>
        <w:t>It is also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duration of the non-compete, non-solicitation, and confidentiality agreements included in the shareholders' agreement, to the extent that they exceed three years, goes beyond what is reasonably required by the notified merger operation, thus remaining subject to the general regulations applicable to agreements between companies. Likewise, the limitation on the holding of financial investments [CONFIDENTIAL], which applies to financial investments regardless of whether they confer control, is not directly linked to the execution of the merger and is not necessary for that purpose, and therefore will be subject to the general regulations applicable to agreements between companies. All of this 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