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https://www.cnmc.es/expedientes/c128022</w:t>
      </w:r>
    </w:p>
    <w:p>
      <w:r>
        <w:t>Pages translated : 2</w:t>
      </w:r>
    </w:p>
    <w:p/>
    <w:p>
      <w:r>
        <w:rPr>
          <w:b/>
        </w:rPr>
        <w:t>[Pages 1–2]</w:t>
      </w:r>
    </w:p>
    <w:p>
      <w:r>
        <w:t xml:space="preserve">C/1280/22  </w:t>
        <w:br/>
        <w:t xml:space="preserve">ESG MOVILIDAD / SERCOMA  </w:t>
        <w:br/>
        <w:t xml:space="preserve">RESOLUTION  </w:t>
        <w:br/>
        <w:t xml:space="preserve">ESG MOVILIDAD / SERCOMA  </w:t>
        <w:br/>
        <w:t xml:space="preserve">(C/1280/22)  </w:t>
        <w:br/>
        <w:t xml:space="preserve">COUNCIL. COMPETITION CHAMBER  </w:t>
        <w:br/>
        <w:t xml:space="preserve">President  </w:t>
        <w:br/>
        <w:t xml:space="preserve">Ms. Cani Fernández Vicién  </w:t>
        <w:br/>
        <w:t xml:space="preserve">Councilors  </w:t>
        <w:br/>
        <w:t xml:space="preserve">Ms. María Ortiz Aguilar  </w:t>
        <w:br/>
        <w:t xml:space="preserve">Ms. María Pilar Canedo Arrillaga  </w:t>
        <w:br/>
        <w:t xml:space="preserve">Mr. Carlos Aguilar Paredes  </w:t>
        <w:br/>
        <w:t xml:space="preserve">Mr. Josep Maria Salas Prat  </w:t>
        <w:br/>
        <w:t xml:space="preserve">Deputy Secretary of the Council  </w:t>
        <w:br/>
        <w:t xml:space="preserve">Ms. María Ángeles Rodríguez Paraja  </w:t>
        <w:br/>
        <w:t xml:space="preserve">In Madrid, March 9, 2022  </w:t>
        <w:br/>
        <w:t xml:space="preserve">The Competition Chamber has analyzed the merger file processed in accordance with Law 15/2007, of July 3, on the Defense of Competition, consisting of the acquisition by ESG Movilidad, 100% owned by funds managed by H.I.G. Capital (HIG CAPITAL), of exclusive control over Cartera Sercoma, S.L. (SERCOMA) and over all the companies controlled by the latter. In accordance with the report and the proposal submitted by the Directorate of Competition, the Competition Chamber has resolved, under the application of Article 57.2.a) of the aforementioned Law 15/2007, of July 3, to authorize the aforementioned merger operation.  </w:t>
        <w:br/>
        <w:t xml:space="preserve">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in relation to the confidentiality clause, its temporal scope (in all that exceeds two years) and its extension to the buyer, are not considered ancillary restrictions, thus remaining subject to the general regulations applicable to agreements between companies. All of this in accordance with what is indicated in the aforementioned report proposal from the Directorate of Competition.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can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