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https://www.cnmc.es/expedientes/c128122</w:t>
      </w:r>
    </w:p>
    <w:p>
      <w:r>
        <w:t>Pages translated : 2</w:t>
      </w:r>
    </w:p>
    <w:p/>
    <w:p>
      <w:r>
        <w:rPr>
          <w:b/>
        </w:rPr>
        <w:t>[Pages 1–2]</w:t>
      </w:r>
    </w:p>
    <w:p>
      <w:r>
        <w:t xml:space="preserve">C/1281/22  </w:t>
        <w:br/>
        <w:t xml:space="preserve">CURTIS WRIGHT/ SAFRAN BUSINESS UNIT  </w:t>
        <w:br/>
        <w:t xml:space="preserve">RESOLUTION  </w:t>
        <w:br/>
        <w:t xml:space="preserve">CURTIS WRIGHT/ SAFRAN BUSINESS UNIT  </w:t>
        <w:br/>
        <w:t xml:space="preserve">(C/1281/22)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March 23, 2022</w:t>
      </w:r>
    </w:p>
    <w:p>
      <w:r>
        <w:t>The Competition Chamber has analyzed the concentration file processed in accordance with Law 15/2007, of July 3, on the Defense of Competition, consisting of the acquisition of the aircraft ground braking systems business unit of the Safran Group (“SAFRAN business unit”) through an asset transfer by Curtiss-Wright Corporation. In accordance with the report and the proposal submitted by the Directorate of Competition, the Competition Chamber has resolved, applying Article 57.2.a) of the aforementioned Law 15/2007, of July 3, to authorize the said concentration operation.</w:t>
      </w:r>
    </w:p>
    <w:p>
      <w:r>
        <w:t xml:space="preserve">It is also necessary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it will not be regarded as ancillary and necessary for the operation, thus remaining subject to the regulations on agreements between companies:  </w:t>
        <w:br/>
        <w:t xml:space="preserve">National Commission of Markets and Competition 1 of 2  </w:t>
        <w:br/>
        <w:t xml:space="preserve">C/ Alcalá, 47 – 28014 Madrid - C/ Bolivia, 56 – 08018 Barcelona  </w:t>
        <w:br/>
        <w:t>www.cnmc.es</w:t>
      </w:r>
    </w:p>
    <w:p>
      <w:r>
        <w:t xml:space="preserve">C/1281/22  </w:t>
        <w:br/>
        <w:t xml:space="preserve">CURTIS WRIGHT/ SAFRAN BUSINESS UNIT  </w:t>
        <w:br/>
        <w:t xml:space="preserve">- The non-solicitation clause that obliges the Buyer, and  </w:t>
        <w:br/>
        <w:t>- Any limitation on the acquisition or holding of shares in a competing company for exclusively financial investment purposes, which do not confer directly or indirectly management functions or substantial influence over it, regardless of the percentage of participation or the percentage of income generated by it.</w:t>
      </w:r>
    </w:p>
    <w:p>
      <w:r>
        <w:t>All of this in accordance with what is indicated in the aforementioned report proposal from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