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https://www.cnmc.es/expedientes/c128222</w:t>
      </w:r>
    </w:p>
    <w:p>
      <w:r>
        <w:t>Pages translated : 2</w:t>
      </w:r>
    </w:p>
    <w:p/>
    <w:p>
      <w:r>
        <w:rPr>
          <w:b/>
        </w:rPr>
        <w:t>[Pages 1–2]</w:t>
      </w:r>
    </w:p>
    <w:p>
      <w:r>
        <w:t xml:space="preserve">C/1282/22  </w:t>
        <w:br/>
        <w:t xml:space="preserve">HIG / FE  </w:t>
        <w:br/>
        <w:t xml:space="preserve">RESOLUTION  </w:t>
        <w:br/>
        <w:t xml:space="preserve">FILE HIG / FE  </w:t>
        <w:br/>
        <w:t xml:space="preserve">(C/1282/22)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April 11, 2022  </w:t>
        <w:br/>
        <w:t xml:space="preserve">The Competition Chamber has analyzed the merger file processed in accordance with Law 15/2007, of July 3, on the Defense of Competition, consisting of the acquisition by H.I.G. Capital, LLC (H.I.C.), through its subsidiary Time Manufacturing Holdings, LLC (TIME), of all the shares of FE Expansion, S.A.S. (FE), acquiring exclusive control of the company. In accordance with the report and proposal submitted by the Competition Directorate, the Competition Chamber has resolved, applying Article 57.2.a) of the aforementioned Law 15/2007, of July 3, to authorize the said merger operation.  </w:t>
        <w:br/>
        <w:t xml:space="preserve">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or necessary for the operation, and therefore will be subject to the regulations on agreements between companies: (i) the content of the non-compete clause insofar as it exceeds the products or services in which the FE group operated prior to the operation and, (ii) any limitation on the acquisition or holding of shares for purely financial investment purposes. All of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