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https://www.cnmc.es/expedientes/c128422</w:t>
      </w:r>
    </w:p>
    <w:p>
      <w:r>
        <w:t>Pages translated : 2</w:t>
      </w:r>
    </w:p>
    <w:p/>
    <w:p>
      <w:r>
        <w:rPr>
          <w:b/>
        </w:rPr>
        <w:t>[Pages 1–2]</w:t>
      </w:r>
    </w:p>
    <w:p>
      <w:r>
        <w:t xml:space="preserve">C/1284/22  </w:t>
        <w:br/>
        <w:t xml:space="preserve">CAJA RURAL DE NAVARRA / INVERSIONS FENEC  </w:t>
        <w:br/>
        <w:t xml:space="preserve">RESOLUTION  </w:t>
        <w:br/>
        <w:t xml:space="preserve">CAJA RURAL DE NAVARRA / INVERSIONS FENEC  </w:t>
        <w:br/>
        <w:t xml:space="preserve">(C/1284/22)  </w:t>
        <w:br/>
        <w:t xml:space="preserve">COUNCIL. COMPETITION CHAMBER  </w:t>
        <w:br/>
        <w:t xml:space="preserve">President  </w:t>
        <w:br/>
        <w:t xml:space="preserve">Ms. Cani Fernández Vicién  </w:t>
        <w:br/>
        <w:t xml:space="preserve">Counselors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Miguel Bordiu Garcia-Ovies  </w:t>
        <w:br/>
        <w:t xml:space="preserve">In Madrid, May 11, 2022  </w:t>
        <w:br/>
        <w:t xml:space="preserve">The Competition Chamber has analyzed the concentration file processed in accordance with Law 15/2007, of July 3, on the Defense of Competition, consisting of the creation of a joint venture (hereinafter, NEWCO) between CAJA RURAL DE NAVARRA, S. COOP DE CRÉDITO (hereinafter, CAJA RURAL DE NAVARRA) (49.99%) and INVERSIONS FENEC, S.L. (hereinafter, INVERSIONS FENEC) (50.01%), over which both will hold joint control, in accordance with the Letter of Intent (“Term Sheet”) signed on November 16, 2021. According to the report and proposal submitted by the Competition Directorate, the Competition Chamber has resolved, under the application of Article 57.2.a) of the aforementioned Law 15/2007, of July 3, to authorize the aforementioned concentration operation.  </w:t>
        <w:br/>
        <w:t xml:space="preserve">Likewise, it is appropriate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the duration of the confidentiality clause in all that exceeds the duration of the joint venture itself will not be considered necessary or accessory for the execution of the operation, thus remaining subject to the regulations on agreements between companies. All of this in accordance with what is indicated in the aforementioned report proposal from the Competition Directorate.  </w:t>
        <w:br/>
        <w:t xml:space="preserve">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  </w:t>
        <w:br/>
        <w:t>National Commission on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