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https://www.cnmc.es/expedientes/c128622</w:t>
      </w:r>
    </w:p>
    <w:p>
      <w:r>
        <w:t>Pages translated : 2</w:t>
      </w:r>
    </w:p>
    <w:p/>
    <w:p>
      <w:r>
        <w:rPr>
          <w:b/>
        </w:rPr>
        <w:t>[Pages 1–2]</w:t>
      </w:r>
    </w:p>
    <w:p>
      <w:r>
        <w:t xml:space="preserve">C/1286/22  </w:t>
        <w:br/>
        <w:t xml:space="preserve">ITURRI / RODRÍGUEZ LÓPEZ AUTO  </w:t>
        <w:br/>
        <w:t xml:space="preserve">RESOLUTION  </w:t>
        <w:br/>
        <w:t xml:space="preserve">ITURRI / RODRÍGUEZ LÓPEZ AUTO  </w:t>
        <w:br/>
        <w:t xml:space="preserve">(C/1286/22)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Madrid, May 11, 2022</w:t>
      </w:r>
    </w:p>
    <w:p>
      <w:r>
        <w:t>The Competition Chamber has analyzed the concentration file processed in accordance with Law 15/2007, of July 3, on the Defense of Competition, consisting of the acquisition by ITURRI S.A. (ITURRI) of a 70% stake that will grant it joint control of the company Rodríguez López Auto S.L.U. (RLA) along with its subsidiaries Rodríguez López Auto, S.A.S. and Emergalia, S.L.U. According to the report and the proposal submitted by the Directorate of Competition, the Competition Chamber has resolved, in application of Article 57.2.a) of the aforementioned Law 15/2007, of July 3, to authorize the said concentration operation.</w:t>
      </w:r>
    </w:p>
    <w:p>
      <w:r>
        <w:t xml:space="preserve">National Commission of Markets and Competition 1 of 2  </w:t>
        <w:br/>
        <w:t xml:space="preserve">C/ Alcalá, 47 – 28014 Madrid - C/ Bolivia, 56 – 08018 Barcelona  </w:t>
        <w:br/>
        <w:t>www.cnmc.es</w:t>
      </w:r>
    </w:p>
    <w:p>
      <w:r>
        <w:t xml:space="preserve">C/1286/22  </w:t>
        <w:br/>
        <w:t>ITURRI / RODRÍGUEZ LÓPEZ AUTO</w:t>
      </w:r>
    </w:p>
    <w:p>
      <w:r>
        <w:t>On the other hand, taking into account the legislation and national and community precedents, as well as the Commission's Communication on restrictions directly linked to the execution of a concentration and necessary for that purpose (2005/C 56/03), this Chamber considers that the confidentiality clause 10.2.(i) of the Shareholders' Agreement could go beyond what is reasonably required by the notified concentration operation, being justified only for a maximum of three years from the closing date of the operation, with anything exceeding that being subject to the general regulations applicable to agreements between companies. All of this in accordance with what is indicated in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