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https://www.cnmc.es/expedientes/c128722</w:t>
      </w:r>
    </w:p>
    <w:p>
      <w:r>
        <w:t>Pages translated : 1</w:t>
      </w:r>
    </w:p>
    <w:p/>
    <w:p>
      <w:r>
        <w:rPr>
          <w:b/>
        </w:rPr>
        <w:t>[Pages 1–1]</w:t>
      </w:r>
    </w:p>
    <w:p>
      <w:r>
        <w:t xml:space="preserve">C/1287/22  </w:t>
        <w:br/>
        <w:t xml:space="preserve">REDEXIS / CEPSA 4  </w:t>
        <w:br/>
        <w:t xml:space="preserve">RESOLUTION  </w:t>
        <w:br/>
        <w:t xml:space="preserve">REDEXIS / CEPSA 4  </w:t>
        <w:br/>
        <w:t xml:space="preserve">(C/1287/22)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April 28, 2022</w:t>
      </w:r>
    </w:p>
    <w:p>
      <w:r>
        <w:t>The Competition Chamber has analyzed the concentration file processed in accordance with Law 15/2007, of July 3, on the Defense of Competition, consisting of the acquisition by REDEXIS GAS, S.A. (hereinafter, REDEXIS), of various assets for the distribution and supply of piped liquefied petroleum gas (hereinafter, LPG), owned by CEPSA and GASIB, both belonging to the Cepsa Group. In accordance with the report and the proposal submitted by the Directorate of Competition, the Competition Chamber has resolved, under the application of Article 57.2.a) of the aforementioned Law 15/2007, of July 3, to authorize the aforementioned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INTERNAL  </w:t>
        <w:br/>
        <w:t xml:space="preserve">National Commission of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