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https://www.cnmc.es/expedientes/c128822</w:t>
      </w:r>
    </w:p>
    <w:p>
      <w:r>
        <w:t>Pages translated : 1</w:t>
      </w:r>
    </w:p>
    <w:p/>
    <w:p>
      <w:r>
        <w:rPr>
          <w:b/>
        </w:rPr>
        <w:t>[Pages 1–1]</w:t>
      </w:r>
    </w:p>
    <w:p>
      <w:r>
        <w:t xml:space="preserve">C/1288/22  </w:t>
        <w:br/>
        <w:t xml:space="preserve">US ZINC/EVERZINC  </w:t>
        <w:br/>
        <w:t xml:space="preserve">RESOLUTION  </w:t>
        <w:br/>
        <w:t xml:space="preserve">US ZINC/EVERZINC  </w:t>
        <w:br/>
        <w:t xml:space="preserve">(C/1288/22)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April 20, 2022</w:t>
      </w:r>
    </w:p>
    <w:p>
      <w:r>
        <w:t>The Competition Chamber has analyzed the concentration file processed in accordance with Law 15/2007, of July 3, on the Defense of Competition, consisting of the acquisition of exclusive control of EverZinc Holdings B.V. (hereinafter, EVERZINC) by Zinc Bidco B.V. (hereinafter, ZINC BIDCO), a wholly-owned subsidiary of U.S. Zinc Corporation (hereinafter, US ZINC), through the acquisition of the share capital of Zinc Investments Holdings S.à.r.l and Stichting Administratiekantoor EverZinc Holdings. According to the report and proposal submitted by the Directorate of Competition, the Competition Chamber has resolved, in application of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INTERNAL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