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https://www.cnmc.es/expedientes/c128922</w:t>
      </w:r>
    </w:p>
    <w:p>
      <w:r>
        <w:t>Pages translated : 2</w:t>
      </w:r>
    </w:p>
    <w:p/>
    <w:p>
      <w:r>
        <w:rPr>
          <w:b/>
        </w:rPr>
        <w:t>[Pages 1–2]</w:t>
      </w:r>
    </w:p>
    <w:p>
      <w:r>
        <w:t xml:space="preserve">C/1289/22  </w:t>
        <w:br/>
        <w:t xml:space="preserve">MUTUA-ECI /SECI-CESS  </w:t>
        <w:br/>
        <w:t xml:space="preserve">RESOLUTION  </w:t>
        <w:br/>
        <w:t xml:space="preserve">MUTUA-ECI /SECI-CESS  </w:t>
        <w:br/>
        <w:t xml:space="preserve">(C/1289/22)  </w:t>
        <w:br/>
        <w:t xml:space="preserve">COUNCIL. COMPETITION CHAMBER  </w:t>
        <w:br/>
        <w:t xml:space="preserve">President  </w:t>
        <w:br/>
        <w:t xml:space="preserve">Ms. Cani Fernández Vicién  </w:t>
        <w:br/>
        <w:t xml:space="preserve">Counselors  </w:t>
        <w:br/>
        <w:t xml:space="preserve">Ms. María Ortiz Aguilar  </w:t>
        <w:br/>
        <w:t xml:space="preserve">Ms. María Pilar Canedo Arrillaga  </w:t>
        <w:br/>
        <w:t xml:space="preserve">Mr. Carlos Aguilar Paredes  </w:t>
        <w:br/>
        <w:t xml:space="preserve">Mr. Josep Maria Salas Prat  </w:t>
        <w:br/>
        <w:t xml:space="preserve">Secretary of the Council  </w:t>
        <w:br/>
        <w:t xml:space="preserve">Mr. Miguel Bordiu Garcia-Ovies  </w:t>
        <w:br/>
        <w:t xml:space="preserve">In Madrid, May 11, 2022  </w:t>
        <w:br/>
        <w:t xml:space="preserve">The Competition Chamber has analyzed the concentration file processed in accordance with Law 15/2007, of July 3, on the Defense of Competition, consisting of the acquisition by Mutua Madrileña Automovilista, S.S.P.F., (hereinafter MUTUA) and El Corte Inglés, SA (hereinafter ECI) of joint control over Seguros El Corte Inglés, Vida, Pensiones y Reaseguros, S.A.U. (hereinafter, SECI) and Centro de Seguros y Servicios Correduría de Seguros, S.A. Grupo de Seguros El Corte Inglés (hereinafter, CESS), as well as the eventual creation of a new company active in the asset management market (JVC). In accordance with the report and proposal submitted by the Competition Directorate, the Competition Chamber has resolved, under Article 57.2.a) of the aforementioned Law 15/2007, of July 3, to authorize the aforementioned concentration operation.  </w:t>
        <w:br/>
        <w:t xml:space="preserve">Likewise, it is appropriate to analyze the operation taking into account the Communication from the European Commission on restrictions directly linked to the execution of a concentration and necessary for that purpose (2005/C 56/03) and the practice of national competition authorities. This Chamber considers that, in the present case, they go beyond what is reasonably required by the notified concentration operation and should not be considered necessary or accessory, thus remaining subject to the general regulations applicable to agreements between companies, the following restrictions:  </w:t>
        <w:br/>
        <w:t xml:space="preserve">• In relation to the material scope:  </w:t>
        <w:br/>
        <w:t xml:space="preserve">  o from the Non-Competition Clause, the prohibition of acquiring financial interests that do not imply control of a company considered a competitor of the business,  </w:t>
        <w:br/>
        <w:t xml:space="preserve">  o from the Non-Competition Clause and the Distribution Agreement, what exceeds the activities of the acquired entity;  </w:t>
        <w:br/>
        <w:t xml:space="preserve">  o from the Distribution Agreement, its exclusivity and what exceeds the marketing of the products of the acquired entity.  </w:t>
        <w:br/>
        <w:t xml:space="preserve">• And in relation to the temporal scope:  </w:t>
        <w:br/>
        <w:t xml:space="preserve">  o from the Non-Competition Clause, and from the Confidentiality Clause, what exceeds the two years established by the Communication;  </w:t>
        <w:br/>
        <w:t xml:space="preserve">  o from the Services Agreement and the Distribution Agreement, what exceeds the five years established by the Communication.  </w:t>
        <w:br/>
        <w:t xml:space="preserve">All of this in accordance with what is indicated in the aforementioned report proposal from the Competition Directorate.  </w:t>
        <w:br/>
        <w:t xml:space="preserve">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