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https://www.cnmc.es/expedientes/c129022</w:t>
      </w:r>
    </w:p>
    <w:p>
      <w:r>
        <w:t>Pages translated : 2</w:t>
      </w:r>
    </w:p>
    <w:p/>
    <w:p>
      <w:r>
        <w:rPr>
          <w:b/>
        </w:rPr>
        <w:t>[Pages 1–2]</w:t>
      </w:r>
    </w:p>
    <w:p>
      <w:r>
        <w:t xml:space="preserve">C/1290/22  </w:t>
        <w:br/>
        <w:t xml:space="preserve">ANICURA / VETSUM  </w:t>
        <w:br/>
        <w:t xml:space="preserve">RESOLUTION  </w:t>
        <w:br/>
        <w:t xml:space="preserve">ANICURA / VETSUM  </w:t>
        <w:br/>
        <w:t xml:space="preserve">(C/1290/22)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Barcelona, on May 25, 2022</w:t>
      </w:r>
    </w:p>
    <w:p>
      <w:r>
        <w:t>The Competition Chamber has analyzed the merger file processed in accordance with Law 15/2007, of July 3, on the Defense of Competition, consisting of the acquisition of exclusive control by AniCura Spain Holding S.L.U. (“ANICURA”) of the company Vetsum Servicios Veterinarios, S.L. (“VETSUM”), through the acquisition of 100% of the capital of said company.</w:t>
      </w:r>
    </w:p>
    <w:p>
      <w:r>
        <w:t>In accordance with the report and proposal submitted by the Directorate of Competition, the Competition Chamber has resolved, applying Article 57.2.a) of the aforementioned Law 15/2007, of July 3, to authorize the aforementioned merger operation.</w:t>
      </w:r>
    </w:p>
    <w:p>
      <w:r>
        <w:t>Likewise, it is necessary to analyze the operation taking into account the Communication from the European Commission on restrictions directly linked to the execution of a merger and necessary for that purpose (2005/C 56/03), this Chamber considers that the non-solicitation clause, in terms of its temporal scope (in all that exceeds two years) and geographical scope (in what exceeds the local area where the acquired is present), is not considered an ancillary restriction to the operation, thus remaining subject to the general regulations applicable to agreements between companies.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