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https://www.cnmc.es/expedientes/c129122</w:t>
      </w:r>
    </w:p>
    <w:p>
      <w:r>
        <w:t>Pages translated : 2</w:t>
      </w:r>
    </w:p>
    <w:p/>
    <w:p>
      <w:r>
        <w:rPr>
          <w:b/>
        </w:rPr>
        <w:t>[Pages 1–2]</w:t>
      </w:r>
    </w:p>
    <w:p>
      <w:r>
        <w:t xml:space="preserve">C/1291/22  </w:t>
        <w:br/>
        <w:t xml:space="preserve">CARGILL EQUUS  </w:t>
        <w:br/>
        <w:t xml:space="preserve">RESOLUTION  </w:t>
        <w:br/>
        <w:t xml:space="preserve">CARGILL EQUUS  </w:t>
        <w:br/>
        <w:t xml:space="preserve">(C/1291/22)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Garcia-Ovies  </w:t>
        <w:br/>
        <w:t xml:space="preserve">In Madrid, May 11, 2022  </w:t>
        <w:br/>
        <w:t xml:space="preserve">The Competition Chamber has analyzed the merger file processed in accordance with Law 15/2007, of July 3, on the Defense of Competition, consisting of the acquisition of exclusive control by Cargill Incorporated (hereinafter, CARGILL), through its subsidiary Cargill Velocity Holdings Limited (hereinafter, CARGILL VELOCITY), over Equus UK Topco Ltd (hereinafter, EQUUS), a subsidiary of Croda International Plc (hereinafter, CRODA). In accordance with the report and proposal submitted by the Competition Directorate, the Competition Chamber has resolved, under Article 57.2.a) of the aforementioned Law 15/2007, of July 3, to authorize the aforementioned merger operation.  </w:t>
        <w:br/>
        <w:t xml:space="preserve">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in the present case, it will not be considered ancillary and necessary for the operation, thus remaining subject to the regulations on agreements between companies:  </w:t>
        <w:br/>
        <w:t xml:space="preserve">- The content of the non-compete clause, insofar as it exceeds the products in which the acquired entity is present.  </w:t>
        <w:br/>
        <w:t xml:space="preserve">- Any limitation on the seller regarding the holding of shares for exclusively financial investment purposes that do not confer directly or indirectly management functions or substantial influence in the competing company.  </w:t>
        <w:br/>
        <w:t xml:space="preserve">- The duration of the supply agreements agreed between CRODA and EQUUS, to the extent that they exceed 5 years in duration.  </w:t>
        <w:br/>
        <w:t xml:space="preserve">All of this in accordance with what is indicated in the aforementioned report proposal from the Competition Directorate.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