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https://www.cnmc.es/expedientes/c129322</w:t>
      </w:r>
    </w:p>
    <w:p>
      <w:r>
        <w:t>Pages translated : 2</w:t>
      </w:r>
    </w:p>
    <w:p/>
    <w:p>
      <w:r>
        <w:rPr>
          <w:b/>
        </w:rPr>
        <w:t>[Pages 1–2]</w:t>
      </w:r>
    </w:p>
    <w:p>
      <w:r>
        <w:t xml:space="preserve">C/1293/22  </w:t>
        <w:br/>
        <w:t xml:space="preserve">PREVING / CUALTIS  </w:t>
        <w:br/>
        <w:t xml:space="preserve">RESOLUTION  </w:t>
        <w:br/>
        <w:t xml:space="preserve">PREVING / CUALTIS  </w:t>
        <w:br/>
        <w:t xml:space="preserve">(C/1293/22)  </w:t>
        <w:br/>
        <w:t>COUNCIL. COMPETITION CHAMBER</w:t>
      </w:r>
    </w:p>
    <w:p>
      <w:r>
        <w:t xml:space="preserve">President  </w:t>
        <w:br/>
        <w:t>Ms. Cani Fernández Vicién</w:t>
      </w:r>
    </w:p>
    <w:p>
      <w:r>
        <w:t xml:space="preserve">Councilors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Garcia-Ovies</w:t>
      </w:r>
    </w:p>
    <w:p>
      <w:r>
        <w:t>In Barcelona, on May 25, 2022</w:t>
      </w:r>
    </w:p>
    <w:p>
      <w:r>
        <w:t>The Competition Chamber has analyzed the concentration file processed in accordance with Law 15/2007, of July 3, on the Defense of Competition, consisting of the acquisition of exclusive control by PREVING INVESTMENTS GROUP, S.L. (PREVING) over the share capital of CUALTIS, S.L.U. (CUALTIS). In accordance with the report and proposal submitted by the Competition Directorate, the Competition Chamber has resolved, in application of Article 57.2.a) of the aforementioned Law 15/2007, of July 3, to authorize the said concentration operation.</w:t>
      </w:r>
    </w:p>
    <w:p>
      <w:r>
        <w:t>Furthermore, it is necessary to analyze the operation taking into account the Communication from the European Commission regarding restrictions directly linked to the execution of a concentration and necessary for that purpose (2005/C 56/03); this Chamber considers that, in the present case, they go beyond what is reasonably required by the notified concentration operation and should not be considered necessary or ancillary, thus remaining subject to the general regulations applicable to agreements between companies, the following restrictions:</w:t>
      </w:r>
    </w:p>
    <w:p>
      <w:r>
        <w:t xml:space="preserve">National Commission of Markets and Competition 1 of 2  </w:t>
        <w:br/>
        <w:t xml:space="preserve">C/ Alcalá, 47 – 28014 Madrid - C/ Bolivia, 56 – 08018 Barcelona  </w:t>
        <w:br/>
        <w:t>www.cnmc.es</w:t>
      </w:r>
    </w:p>
    <w:p>
      <w:r>
        <w:t xml:space="preserve">C/1293/22  </w:t>
        <w:br/>
        <w:t xml:space="preserve">PREVING / CUALTIS  </w:t>
        <w:br/>
        <w:t xml:space="preserve">• the material scope of the obligation of permanence and exclusivity, of the confidentiality clause, of non-competition and non-solicitation regarding the obligation of compliance by the purchasing party and  </w:t>
        <w:br/>
        <w:t>• the temporal scope of the confidentiality clause, of non-competition and non-solicitation, and the obligation of permanence and exclusivity, insofar as it exceeds the two years established by the Communication.</w:t>
      </w:r>
    </w:p>
    <w:p>
      <w:r>
        <w:t>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