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https://www.cnmc.es/expedientes/c129522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C/1295/22  </w:t>
        <w:br/>
        <w:t xml:space="preserve">KARNOV / TR SPAIN / WK SPAIN  </w:t>
        <w:br/>
        <w:t xml:space="preserve">RESOLUTION  </w:t>
        <w:br/>
        <w:t xml:space="preserve">FILE KARNOV / TR SPAIN / WK SPAIN  </w:t>
        <w:br/>
        <w:t xml:space="preserve">(C/1295/22)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Ms. María Jesús Martín Martínez  </w:t>
        <w:br/>
        <w:t xml:space="preserve">Secretary of the Council  </w:t>
        <w:br/>
        <w:t xml:space="preserve">Mr. Miguel Bordiu Garcia-Ovies  </w:t>
        <w:br/>
        <w:t xml:space="preserve">In Madrid, on November 2,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Karnov Group AB  </w:t>
        <w:br/>
        <w:t xml:space="preserve">(KARNOV) of Editorial Aranzadi, S.A.U. (TR Spain), Wolters Kluwer Legal &amp;  </w:t>
        <w:br/>
        <w:t xml:space="preserve">Regulatory España, S.A. (and indirectly of its subsidiaries) (WK Spain) and  </w:t>
        <w:br/>
        <w:t xml:space="preserve">Wolters Kluwer France, SAS (WK France), through the purchase of 100% of the  </w:t>
        <w:br/>
        <w:t xml:space="preserve">shares of said companies, prior to the exclusion of certain products and  </w:t>
        <w:br/>
        <w:t xml:space="preserve">business units from its current perimeter. In accordance with the report and  </w:t>
        <w:br/>
        <w:t xml:space="preserve">the proposal submitted by the Directorate of Competition, the Competition  </w:t>
        <w:br/>
        <w:t xml:space="preserve">Chamber has resolved, under the application of Article 57.2.b) of the  </w:t>
        <w:br/>
        <w:t xml:space="preserve">aforementioned Law 15/2007, of July 3, to authorize the aforementioned  </w:t>
        <w:br/>
        <w:t xml:space="preserve">concentration operation subject to the fulfillment of the commitments  </w:t>
        <w:br/>
        <w:t xml:space="preserve">presented by KARNOV on October 26, 2022.  </w:t>
        <w:br/>
        <w:t xml:space="preserve">National Commission of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C/1295/22  </w:t>
        <w:br/>
        <w:t xml:space="preserve">KARNOV / TR SPAIN / WK SPAIN  </w:t>
        <w:br/>
        <w:t xml:space="preserve">This Resolution shall be communicated to the Directorate of Competition of the  </w:t>
        <w:br/>
        <w:t xml:space="preserve">National Commission of Markets and Competition and notified to the interested  </w:t>
        <w:br/>
        <w:t xml:space="preserve">party, informing them that it concludes the administrative procedure and that  </w:t>
        <w:br/>
        <w:t xml:space="preserve">a contentious-administrative appeal may be filed against it before the  </w:t>
        <w:br/>
        <w:t xml:space="preserve">National Court, within two months from the day following its notification.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