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https://www.cnmc.es/expedientes/c129622</w:t>
      </w:r>
    </w:p>
    <w:p>
      <w:r>
        <w:t>Pages translated : 2</w:t>
      </w:r>
    </w:p>
    <w:p/>
    <w:p>
      <w:r>
        <w:rPr>
          <w:b/>
        </w:rPr>
        <w:t>[Pages 1–2]</w:t>
      </w:r>
    </w:p>
    <w:p>
      <w:r>
        <w:t>C/1296/22 DK / GRUPO CEREALTO SIRO RESOLUTION DK / GRUPO CEREALTO SIRO (C/1296/22) COUNCIL. COMPETITION CHAMBER President Ms. Cani Fernández Vicién Councilors Ms. María Ortiz Aguilar Ms. María Pilar Canedo Arrillaga Mr. Carlos Aguilar Paredes Mr. Josep Maria Salas Prat Secretary of the Council Mr. Miguel Bordiu Garcia-Ovies In Madrid, on June 1, 2022 The Competition Chamber has analyzed the concentration file processed in accordance with Law 15/2007, of July 3, on the Defense of Competition, consisting of the acquisition of exclusive control by Oakview Capital L6 Designated Activity Company (hereinafter, OAKVIEW), a company, in turn, advised/managed by Davidson Kemper Capital Management LP (hereinafter, DK), over Grupo Siro Corporativo, S.A. (hereinafter, GRS). According to the report and proposal submitted by the Competition Directorate, the Competition Chamber has resolved, in application of Article 57.2.a) of the aforementioned Law 15/2007, of July 3, to authorize the aforementioned concentration operation. Likewise, it is necessary to analyze the operation taking into account the Communication from the European Commission on restrictions directly linked to the execution of a concentration and necessary for that purpose (2005/C 56/03); this Chamber considers that the duration of the non-compete and non-solicitation clauses will not be considered ancillary or necessary for the operation, thus remaining subject to the regulations on agreements between companies. All of this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