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https://www.cnmc.es/expedientes/c129922</w:t>
      </w:r>
    </w:p>
    <w:p>
      <w:r>
        <w:t>Pages translated : 1</w:t>
      </w:r>
    </w:p>
    <w:p/>
    <w:p>
      <w:r>
        <w:rPr>
          <w:b/>
        </w:rPr>
        <w:t>[Pages 1–1]</w:t>
      </w:r>
    </w:p>
    <w:p>
      <w:r>
        <w:t xml:space="preserve">C/1299/22  </w:t>
        <w:br/>
        <w:t xml:space="preserve">KAIROS / DRALON  </w:t>
        <w:br/>
        <w:t xml:space="preserve">RESOLUTION  </w:t>
        <w:br/>
        <w:t xml:space="preserve">KAIROS / DOLAN  </w:t>
        <w:br/>
        <w:t xml:space="preserve">(C/1299/22)  </w:t>
        <w:br/>
        <w:t xml:space="preserve">COUNCIL. COMPETITION CHAMBER  </w:t>
        <w:br/>
        <w:t xml:space="preserve">President  </w:t>
        <w:br/>
        <w:t xml:space="preserve">Ms. Cani Fernández Vicién  </w:t>
        <w:br/>
        <w:t xml:space="preserve">Councilors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Garcia-Ovies  </w:t>
        <w:br/>
        <w:t xml:space="preserve">In Madrid, on June 22, 2022  </w:t>
        <w:br/>
        <w:t xml:space="preserve">The Competition Chamber has analyzed the concentration file processed in accordance with Law 15/2007, of July 3, on the Defense of Competition, consisting of the acquisition of 100% of the shares of DRALON, 100% owner of DOLAN, by KAIROS. In accordance with the report and proposal submitted by the Competition Directorate, the Competition Chamber has resolved, in application of article 57.2.a) of the aforementioned Law 15/2007, of July 3, to authorize the aforementioned concentration operation.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