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https://www.cnmc.es/expedientes/c130122</w:t>
      </w:r>
    </w:p>
    <w:p>
      <w:r>
        <w:t>Pages translated : 2</w:t>
      </w:r>
    </w:p>
    <w:p/>
    <w:p>
      <w:r>
        <w:rPr>
          <w:b/>
        </w:rPr>
        <w:t>[Pages 1–2]</w:t>
      </w:r>
    </w:p>
    <w:p>
      <w:r>
        <w:t xml:space="preserve">C/1301/22  </w:t>
        <w:br/>
        <w:t xml:space="preserve">G4S MTL ATTENTI  </w:t>
        <w:br/>
        <w:t xml:space="preserve">RESOLUTION  </w:t>
        <w:br/>
        <w:t xml:space="preserve">G4S MLT ATTENTI  </w:t>
        <w:br/>
        <w:t xml:space="preserve">(C/1301/22)  </w:t>
        <w:br/>
        <w:t xml:space="preserve">COUNCIL. COMPETITION CHAMBER  </w:t>
        <w:br/>
        <w:t xml:space="preserve">President  </w:t>
        <w:br/>
        <w:t xml:space="preserve">Ms. Cani Fernández Vicién  </w:t>
        <w:br/>
        <w:t xml:space="preserve">Councilors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Garcia-Ovies  </w:t>
        <w:br/>
        <w:t xml:space="preserve">In Madrid, on June 22, 2022  </w:t>
        <w:br/>
        <w:t xml:space="preserve">The Competition Chamber has analyzed the merger file processed in accordance with Law 15/2007, of July 3, on the Defense of Competition, consisting of the acquisition of exclusive control by G4S Monitoring Technologies Limited (hereinafter, G4S MTL), over Attenti Electronic Group Ltd. (hereinafter, ATTENTI). In accordance with the report and proposal submitted by the Competition Directorate, the Competition Chamber has resolved, in application of Article 57.2.a) of the aforementioned Law 15/2007, of July 3, to authorize the aforementioned merger operation.  </w:t>
        <w:br/>
        <w:t xml:space="preserve">Likewise, it is appropriate to analyze the operation taking into account the Communication from the European Commission on restrictions directly linked to the execution of a merger and necessary for that purpose (2005/C 56/03); this Chamber considers that the duration of the confidentiality clause, insofar as it exceeds three (3) years, will not be considered by the National Commission of Markets and Competition as ancillary and necessary for the operation, and therefore will be subject to the regulations on agreements between companies. All of this in accordance with what is indicated in the aforementioned report proposal from the Competition Directorate.  </w:t>
        <w:br/>
        <w:t xml:space="preserve">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National Commission of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