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https://www.cnmc.es/expedientes/c130222</w:t>
      </w:r>
    </w:p>
    <w:p>
      <w:r>
        <w:t>Pages translated : 1</w:t>
      </w:r>
    </w:p>
    <w:p/>
    <w:p>
      <w:r>
        <w:rPr>
          <w:b/>
        </w:rPr>
        <w:t>[Pages 1–1]</w:t>
      </w:r>
    </w:p>
    <w:p>
      <w:r>
        <w:t xml:space="preserve">C/1302/22  </w:t>
        <w:br/>
        <w:t xml:space="preserve">FUNESER / VIRGEN DE LOS REMEDIOS  </w:t>
        <w:br/>
        <w:t xml:space="preserve">RESOLUTION  </w:t>
        <w:br/>
        <w:t xml:space="preserve">FUNESER / VIRGEN DE LOS REMEDIOS  </w:t>
        <w:br/>
        <w:t xml:space="preserve">(C/1302/22)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June 22, 2022</w:t>
      </w:r>
    </w:p>
    <w:p>
      <w:r>
        <w:t>The Competition Chamber has analyzed the concentration file processed in accordance with Law 15/2007, of July 3, on the Defense of Competition, consisting of the acquisition of exclusive control of a series of assets belonging to the company SERVICIOS FUNERARIOS VIRGEN DE LOS REMEDIOS, S.L. (hereinafter, REMEDIOS) by ASV FUNESER, S.L.U. (hereinafter, FUNESER). According to the report and the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