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https://www.cnmc.es/expedientes/c130522</w:t>
      </w:r>
    </w:p>
    <w:p>
      <w:r>
        <w:t>Pages translated : 9</w:t>
      </w:r>
    </w:p>
    <w:p/>
    <w:p>
      <w:r>
        <w:rPr>
          <w:b/>
        </w:rPr>
        <w:t>[Pages 1–3]</w:t>
      </w:r>
    </w:p>
    <w:p>
      <w:r>
        <w:t xml:space="preserve">C/1305/22  </w:t>
        <w:br/>
        <w:t xml:space="preserve">GRIMALDI /TFB  </w:t>
        <w:br/>
        <w:t xml:space="preserve">RESOLUTION  </w:t>
        <w:br/>
        <w:t xml:space="preserve">FILE GRIMALDI/TFB  </w:t>
        <w:br/>
        <w:t xml:space="preserve">(C/1305/22)  </w:t>
        <w:br/>
        <w:t xml:space="preserve">COUNCIL. COMPETITION ROOM  </w:t>
        <w:br/>
        <w:t xml:space="preserve">President  </w:t>
        <w:br/>
        <w:t xml:space="preserve">Ms. Cani Fernández Vicién  </w:t>
        <w:br/>
        <w:t xml:space="preserve">Counselors  </w:t>
        <w:br/>
        <w:t xml:space="preserve">Mr. Carlos Aguilar Paredes  </w:t>
        <w:br/>
        <w:t xml:space="preserve">Mr. Josep María Salas Prat  </w:t>
        <w:br/>
        <w:t xml:space="preserve">Ms. María Jesús Martín Martínez  </w:t>
        <w:br/>
        <w:t xml:space="preserve">Mr. Bernardo Lorenzo Almendros  </w:t>
        <w:br/>
        <w:t xml:space="preserve">Deputy Secretary of the Council  </w:t>
        <w:br/>
        <w:t xml:space="preserve">Ms. María Ángeles Rodríguez Paraja  </w:t>
        <w:br/>
        <w:t xml:space="preserve">In Barcelona, on April 26, 2023  </w:t>
        <w:br/>
        <w:t xml:space="preserve">The Competition Room of the National Commission on Markets and Competition, with the composition expressed, pursuant to Article 58 of Law 15/2007, of July 3, on the Defense of Competition (hereinafter LDC), has issued a resolution in file C/1305/22 GRIMALDI/TFB, regarding the acquisition by GRIMALDI TERMINAL DE BARCELONA, S.L. (GTB), a company belonging to the GRIMALDI group, of the exclusive control of TERMINAL FERRY DE BARCELONA, S.L.U. (TFB), holder of a public concession in the port of Barcelona.  </w:t>
        <w:br/>
        <w:t xml:space="preserve">National Commission on Markets and Competition 1 of 9  </w:t>
        <w:br/>
        <w:t xml:space="preserve">C/ Alcalá, 47 – 28014 Madrid - C/ Bolivia, 56 – 08018 Barcelona  </w:t>
        <w:br/>
        <w:t>www.cnmc.es</w:t>
      </w:r>
    </w:p>
    <w:p>
      <w:r>
        <w:t xml:space="preserve">C/1305/22  </w:t>
        <w:br/>
        <w:t xml:space="preserve">GRIMALDI /TFB  </w:t>
        <w:br/>
        <w:t xml:space="preserve">1. BACKGROUND  </w:t>
        <w:br/>
        <w:t xml:space="preserve">(1) On June 16, 2022, the National Commission on Markets and Competition (CNMC) was notified of the concentration operation consisting of the acquisition by GRIMALDI TERMINAL DE BARCELONA, S.L. (GTB), a company belonging to the GRIMALDI group, of the exclusive control of TERMINAL FERRY DE BARCELONA, S.L.U. (TFB), a company that manages a public roll-on/roll-off cargo and passenger terminal in the port of Barcelona, a notification that gave rise to file C/1305/22 GRIMALDI/TFB. This notification included a proposal for commitments in the first phase under Article 59 of Law 15/2007, of July 3, on the Defense of Competition (“LDC”) and Article 69 of the Competition Defense Regulation, approved by Royal Decree 261/2008, of February 22 (“RDC”), in order to resolve the possible obstacles to maintaining effective competition that could arise from the concentration.  </w:t>
        <w:br/>
        <w:t xml:space="preserve">(2) In accordance with Article 57.1 of Law 15/2007, of July 3, on the Defense of Competition (hereinafter, LDC), the Competition Directorate formed a file and prepared the corresponding report on the operation along with a proposal for resolution.  </w:t>
        <w:br/>
        <w:t xml:space="preserve">(3) The CNMC Council adopted, on September 7, 2022, a resolution in the first phase, in which it agreed to initiate the second phase of the procedure in accordance with Article 57.2 c) of the LDC, to the extent that the notified concentration operation could hinder the maintenance of effective competition in the analyzed markets.  </w:t>
        <w:br/>
        <w:t xml:space="preserve">(4) On September 16, 2022, in accordance with the provisions of Article 58.1 of the LDC and Article 65 of the RDC, the Competition Directorate published a brief note on the concentration on the CNMC website and sent it to the Consumers and Users Council and to third parties who could be affected by the reference file on September 22, 28, and 30, 2022, to submit their arguments within a period of ten days. On October 6, 2022, SUARDIAZ submitted written arguments to the brief note.  </w:t>
        <w:br/>
        <w:t xml:space="preserve">(5) On October 5, 2022, the CNMC Council agreed to accept the condition of interested party in the procedure of GRANDI NAVI VELOCI, S.p.a (“GNV”). On October 19, 2022, the CNMC Council agreed to deny the participation as an interested party in the procedure to the Spanish Association of Port Service Providers to Passengers (“AEPSP”).  </w:t>
        <w:br/>
        <w:t xml:space="preserve">(6) On September 9 and 14, 2022, the Competition Directorate made an information request to the Port Authority of Barcelona (“APB”) and requested the General Directorate of the Catalan Competition Authority (“ACCO”), respectively, to issue the mandatory, non-binding report on the aforementioned concentration operation, in accordance with the provisions of Articles 39.1 and 55.6 and 58.1 of the LDC respectively; pursuant to the provisions of Article 37.1 b) of the LDC, these requests suspended the maximum deadlines for resolving the reference procedure. On October 18, 2022, the mandatory report prepared by the ACCO was received by the CNMC.  </w:t>
        <w:br/>
        <w:t xml:space="preserve">(7) On October 4, 2022, the Competition Directorate made an information request to Ports of the State pursuant to the provisions of Articles 39.1 and 55.6 of the LDC, which suspended the maximum deadlines for resolving the procedure, in accordance with the provisions of Article 37.1 b) of the LDC.  </w:t>
        <w:br/>
        <w:t xml:space="preserve">(8) On October 14, 2022, the CNMC received written arguments from GTB regarding the proposal for transition to the second phase prepared by the Competition Directorate.  </w:t>
        <w:br/>
        <w:t xml:space="preserve">(9) On November 18, 2022, the Competition Directorate made a new information request to the APB, in accordance with the provisions of Articles 39.1 and 55.6 of the LDC, which, pursuant to the provisions of Article 37.1 b) of the LDC, suspended the maximum deadlines for resolving the procedure.  </w:t>
        <w:br/>
        <w:t xml:space="preserve">(10) On November 23, 2022, the Competition Directorate, in accordance with the provisions of Articles 37.2.b and 55.5 of the LDC, requested from the notifier information necessary for the resolution of the file. After granting an extension of the deadline to respond to this request, requested by GRIMALDI, the response was received by the CNMC on December 15, 2022.  </w:t>
        <w:br/>
        <w:t xml:space="preserve">(11) On December 2, 2022, the Competition Directorate, pursuant to the provisions of Article 55.6 of the LDC, requested third-party operators for information necessary for the proper assessment of the concentration, which, pursuant to the provisions of Article 37.1 b) of the LDC, suspended the maximum deadlines for resolution.  </w:t>
        <w:br/>
        <w:t xml:space="preserve">(12) Considering the simultaneous and successive suspensions of the information requests made to the APB, the ACCO, Ports of the State, GRIMALDI, and third-party operators, as well as the reiterations made, the Competition Directorate agreed to lift the suspension of the maximum deadline for resolution from December 22, 2022, the date on which the last information request expired.  </w:t>
        <w:br/>
        <w:t xml:space="preserve">National Commission on Markets and Competition 3 of 9  </w:t>
        <w:br/>
        <w:t xml:space="preserve">C/ Alcalá, 47 – 28014 Madrid - C/ Bolivia, 56 – 08018 Barcelona  </w:t>
        <w:br/>
        <w:t>www.cnmc.es</w:t>
      </w:r>
    </w:p>
    <w:p>
      <w:r>
        <w:rPr>
          <w:b/>
        </w:rPr>
        <w:t>[Pages 4–6]</w:t>
      </w:r>
    </w:p>
    <w:p>
      <w:r>
        <w:t xml:space="preserve">C/1305/22  </w:t>
        <w:br/>
        <w:t xml:space="preserve">GRIMALDI /TFB  </w:t>
        <w:br/>
        <w:t xml:space="preserve">(13) On December 27, 2022, the Competition Directorate prepared a statement of facts, pursuant to Article 58.2 of the LDC, which outlined the potential competition barriers arising from the concentration. This was notified to the interested parties, who were given a period of 10 days to submit their arguments.  </w:t>
        <w:br/>
        <w:t xml:space="preserve">(14) On January 16, 2023, GRIMALDI submitted arguments to the statement of facts. On the same date, the CNMC received the arguments from GNV, which were subsequently supplemented by a document dated January 24, 2023.  </w:t>
        <w:br/>
        <w:t xml:space="preserve">(15) GRIMALDI's written arguments included a new proposal of commitments aimed at resolving the barriers to maintaining effective competition arising from the operation. In accordance with the provisions of Article 59.2 of the LDC, the submission of these commitments extended the deadline for issuing and notifying the Resolution of the reference file by 15 working days.  </w:t>
        <w:br/>
        <w:t xml:space="preserve">(16) On January 31, 2023, the Competition Directorate made an information request to the APB, which, pursuant to the provisions of Article 37.1.b) of the LDC, suspended the maximum deadline for resolving the reference procedure. On February 24, 2023, the deadline granted to the APB to respond to this information request, reiterated on February 17, was fulfilled, and it was finally answered with documents dated February 13 and February 27, 2023, resuming the counting of the deadline for resolution.  </w:t>
        <w:br/>
        <w:t xml:space="preserve">(17) On March 10, 2023, GRIMALDI submitted a new proposal of commitments. On the same date, the Competition Directorate, pursuant to the provisions of Article 55.6 of the LDC, requested necessary information from third-party operators for the proper assessment of the concentration, which, according to the provisions of Article 37.1 b) of the LDC, suspended the passage of the maximum deadlines for resolution. The deadline granted for responses was fulfilled on March 21, 2023.  </w:t>
        <w:br/>
        <w:t xml:space="preserve">(18) On March 22 and March 31, 2023, the Competition Directorate made two information requests to the APB, which, pursuant to the provisions of Article 37.1.b) of the LDC, suspended the maximum deadline for resolving the reference procedure. The responses from the APB were received by the CNMC on March 27, 2023, and April 14, 2023, respectively.  </w:t>
        <w:br/>
        <w:t xml:space="preserve">(19) On April 21, 2023, the Competition Directorate submitted its proposed report to the Council of the CNMC, in accordance with the provisions of Article 58 of Law 15/2007, of July 3, on the Defense of Competition.  </w:t>
        <w:br/>
        <w:t xml:space="preserve">(20) The Competition Chamber of the Council of the CNMC deliberated and ruled on the matter in its meeting of April 26, 2023.  </w:t>
        <w:br/>
        <w:t xml:space="preserve">C/1305/22  </w:t>
        <w:br/>
        <w:t xml:space="preserve">GRIMALDI /TFB  </w:t>
        <w:br/>
        <w:t xml:space="preserve">2. LEGAL GROUNDS  </w:t>
        <w:br/>
        <w:t xml:space="preserve">2.1. In accordance with Article 58.4 of the LDC, based on the proposal for a definitive resolution from the Competition Directorate, the Competition Chamber will adopt, in the second phase, the decision in which it may: a) authorize the concentration; b) condition the authorization of the concentration on compliance with certain commitments proposed by the notifiers or conditions; c) prohibit the concentration; or d) agree to archive the proceedings in the cases provided for in the Law.  </w:t>
        <w:br/>
        <w:t xml:space="preserve">2.2. In accordance with the provisions of Article 59 of the LDC, in order to resolve the barriers to maintaining effective competition that may arise from the notified concentration operation, GRIMALDI submitted a first proposal of commitments on January 16, 2023. On March 10, 2023, the notifier provided a new version that completes and replaces the previous one.  </w:t>
        <w:br/>
        <w:t xml:space="preserve">This proposal was communicated on March 10, 2023, to third-party operators, so that, in accordance with Article 59.3 of the LDC, they could assess its suitability to resolve the barriers to maintaining effective competition that may arise from the operation.  </w:t>
        <w:br/>
        <w:t xml:space="preserve">In compliance with the provisions of Article 69.7 of the RDC, this final proposal of commitments has been included in Annex 1 of the proposed report submitted by the Competition Directorate, and as stated in that proposed report, it includes the following sections:  </w:t>
        <w:br/>
        <w:t xml:space="preserve">“Commitment to renounce and return  </w:t>
        <w:br/>
        <w:t xml:space="preserve">GTB commits to renounce a part of its concession of the passenger and roll-on/roll-off cargo terminal in the port of Barcelona and return to the APB:  </w:t>
        <w:br/>
        <w:t xml:space="preserve">• An area of 44,230 m2 of which GTB is currently the concessionaire in the port of Barcelona, comprising three areas of 21,730 m2, 10,521 m2, and 11,979 m2.  </w:t>
        <w:br/>
        <w:t xml:space="preserve">• 650 meters of preferential docking rights related to the aforementioned area and located at the Contradique Norte dock of the Port of Barcelona and at the Costa dock, limited in the latter to the time slot of 0:00-18:00.  </w:t>
        <w:br/>
        <w:t xml:space="preserve">Commitment to renounce participation in the potential tender  </w:t>
        <w:br/>
        <w:t xml:space="preserve">GTB commits not to participate in the potential tender that the APB may call to grant a concession for the area affected by the commitment to renounce and return.  </w:t>
        <w:br/>
        <w:t xml:space="preserve">Commitment to direct boarding  </w:t>
        <w:br/>
        <w:t xml:space="preserve">GTB commits to facilitate any third party, who occupies the area affected by the commitment to renounce and return with a concession title or authorization, direct boarding from the gangway and finger of the terminal operated by GTB, according to the conditions set by the APB.  </w:t>
        <w:br/>
        <w:t xml:space="preserve">The applicable rates for this service would correspond to the proportional part of the maximum passenger service rate established by the APB.  </w:t>
        <w:br/>
        <w:t xml:space="preserve">Commitment to provide maritime station services  </w:t>
        <w:br/>
        <w:t xml:space="preserve">In the event that a new maritime station is not constructed in the area affected by the commitment to renounce and return, GTB commits to provide the following maritime station services to any third party who occupies that area with a concession title or authorization:  </w:t>
        <w:br/>
        <w:t xml:space="preserve">• The rental of one-third of the ticket sales windows of the maritime station (6 windows out of the 18 currently existing).  </w:t>
        <w:br/>
        <w:t xml:space="preserve">• The rental of a minimum area of 50 m2 to locate the offices of the new operating company.  </w:t>
        <w:br/>
        <w:t xml:space="preserve">• The use of all existing facilities in the maritime station (passenger waiting areas, security areas, public restrooms, etc.), which must be multipurpose, without restrictions, and may be used simultaneously by passengers of both companies.  </w:t>
        <w:br/>
        <w:t xml:space="preserve">The applicable rates for the rental of the windows and the office space will be set at market price. Regarding the use of the facilities of the maritime station, the price will be limited by the maximum rates authorized by the APB.  </w:t>
        <w:br/>
        <w:t xml:space="preserve">Commitment to maintain conditions  </w:t>
        <w:br/>
        <w:t>Until the effective entry of a third party into the area affected by the commitment to renounce and return, or failing that, until the fifth anniversary of the notification to GTB of the Resolution without such entry having occurred, GTB commits to:</w:t>
      </w:r>
    </w:p>
    <w:p>
      <w:r>
        <w:rPr>
          <w:b/>
        </w:rPr>
        <w:t>[Pages 7–9]</w:t>
      </w:r>
    </w:p>
    <w:p>
      <w:r>
        <w:t xml:space="preserve">C/1305/22  </w:t>
        <w:br/>
        <w:t xml:space="preserve">GRIMALDI /TFB  </w:t>
        <w:br/>
        <w:t xml:space="preserve">• Not worsen the conditions and maintain the rates in force that TFB has agreed with each of the shipping companies to which (i) it provides port services at the Ferry Terminal (i.e., GNV and Suardiaz), or (ii) has provided port services during the last six months (i.e. La Méridionale), subject to the corresponding annual updates based on the cost impact of the percentage increase in wages resulting from the provincial collective agreement regulating working conditions in the port stevedoring companies of the province of Barcelona and their workers, applicable each year.  </w:t>
        <w:br/>
        <w:t xml:space="preserve">• Maintain the current operational procedures of the Ferry Terminal in relation to the services provided by TFB to third-party operators, as long as they maintain the routes currently operating or that have operated during the last six months, in particular:  </w:t>
        <w:br/>
        <w:t xml:space="preserve">  o GNV: (i) two non-simultaneous daily calls at a single berth, preferably at the North West Dock (20A), in the time slot 17:00-23:00 for two Ro/Pax vessels covering one the Barcelona-Palma de Mallorca route and the other the Barcelona-Ibiza or Barcelona-Mahón route; and (ii) up to two simultaneous calls outside the time slot 17:00-23:00 according to the operational needs of GNV's routes with Italy and Morocco, which change according to the season and their schedule, preferably at the berths of San Beltrán Docks (19A) and Barcelona South (18C).  </w:t>
        <w:br/>
        <w:t xml:space="preserve">  o La Méridionale: two weekly calls (Monday and Thursday) preferably at the North West Dock (20A), in the time slot 08:00-14:00 for a Ro/Pax vessel covering the Barcelona-Tanger Med route, only in the event that it resumes its operations at the port of Barcelona during the six months following the notification of the Resolution by the CNMC Council to GTB.  </w:t>
        <w:br/>
        <w:t xml:space="preserve">  o Suardiaz: one weekly call preferably at the North West Dock (20A), in the time slot 08:00-14:00 for a Ro/Ro vessel covering the Barcelona-Canary Islands route.  </w:t>
        <w:br/>
        <w:t xml:space="preserve">The commitment to maintain conditions will apply both to the ongoing contracts with the aforementioned shipping companies and to potential renewals and extensions of the same during the validity of this commitment.  </w:t>
        <w:br/>
        <w:t xml:space="preserve">Supervision of compliance with the commitments  </w:t>
        <w:br/>
        <w:t xml:space="preserve">GTB commits to inform the Competition Directorate of the administrative procedures carried out before the APB to effectuate the commitment to renounce and return part of the GTB terminal, the obtaining of a new concession title, and the acquisition of the TFB terminal, within 3 business days from when they are carried out, as well as of its resolution by the APB within the same period, from its notification by said authority.  </w:t>
        <w:br/>
        <w:t xml:space="preserve">GTB also commits to send to the Competition Directorate an annual report detailing the rates charged to the third party occupying the divested area for direct boarding from the gangway and finger of the terminal operated by GTB, within the first fifteen business days of each calendar year, and to send the agreed rates regarding the provision of maritime station services, as well as the lease contracts or documentation that proves the commercial conditions, within three business days after the signing of the corresponding agreements.  </w:t>
        <w:br/>
        <w:t xml:space="preserve">Additionally, GTB commits to send to the Competition Directorate a copy of the communication made to GNV, La Méridionale, and Suardiaz regarding the maintenance of commercial conditions, within three business days from its sending, and an annual report comparing the prices applied to the shipping companies served by TFB before and after the Resolution, as well as the annual update of the same applied and a copy of the renewals or extensions of the contracts that may be agreed during the validity of the commitment to maintain conditions, within the first fifteen business days of each calendar year.  </w:t>
        <w:br/>
        <w:t xml:space="preserve">Review of the commitments  </w:t>
        <w:br/>
        <w:t xml:space="preserve">In the event that a justified cause is proven and upon a motivated request from GTB, the CNMC Council may grant a waiver, modify, replace, or withdraw one or some of the obligations assumed by GTB in the commitments.  </w:t>
        <w:br/>
        <w:t xml:space="preserve">Having analyzed the proposed report prepared by the DC and in accordance with the aforementioned, this Chamber proposes to subordinate the present concentration C/1305/22 to the compliance with the commitments presented by GRIMALDI on March 10, 2023, without prejudice to the obligations that may apply, in accordance with the applicable regulations and sectoral regulation.  </w:t>
        <w:br/>
        <w:t>Therefore, in view of the cited legal provisions and those of general application, the Competition Chamber of the National Commission on Markets and Competition</w:t>
      </w:r>
    </w:p>
    <w:p>
      <w:r>
        <w:t xml:space="preserve">C/1305/22  </w:t>
        <w:br/>
        <w:t xml:space="preserve">GRIMALDI /TFB  </w:t>
        <w:br/>
        <w:t xml:space="preserve">3. RESOLVES  </w:t>
        <w:br/>
        <w:t xml:space="preserve">First. In accordance with Article 58.4 b) of Law 15/2007, of July 3, on the Defense of Competition, to subordinate the concentration C/1305/22 GRIMALDI/TFB to the compliance with the commitments presented by GRIMALDI on March 10, 2023.  </w:t>
        <w:br/>
        <w:t xml:space="preserve">Second. In accordance with the provisions of Article 58.6 of the LDC, this resolution will be executive when any of the situations provided for in said article occur.  </w:t>
        <w:br/>
        <w:t xml:space="preserve">Third. The non-compliance with the provisions of this resolution will be considered a very serious infringement according to the provisions of Article 62.4. c) of the LDC.  </w:t>
        <w:br/>
        <w:t xml:space="preserve">Fourth. By virtue of the provisions of Article 41.1 of the LDC, the supervision of this resolution is entrusted to the Competition Directorate.  </w:t>
        <w:br/>
        <w:t xml:space="preserve">This resolution shall be communicated to the Competition Directorate and to the First Vice President of the Government and Minister of Economic Affairs and Digital Transformation, as provided in Article 58.5 of the LDC.  </w:t>
        <w:br/>
        <w:t>Likewise, it shall be notified to the interested parties, informing them that this resolution will not be effective, nor executive, nor will it conclude the administrative procedure if none of the two situations provided for in letters a) or b) of Article 58.6 of the LDC occur and that against it, if the administrative procedure is exhausted, a contentious-administrative appeal may be filed before the National Court within two months from the notification of the agreements or from the day on which the deadline for issuing them has elapsed, as provided in the aforementioned letters a) or b) of Article 58.6 of the LDC.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