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https://www.cnmc.es/expedientes/c130622</w:t>
      </w:r>
    </w:p>
    <w:p>
      <w:r>
        <w:t>Pages translated : 2</w:t>
      </w:r>
    </w:p>
    <w:p/>
    <w:p>
      <w:r>
        <w:rPr>
          <w:b/>
        </w:rPr>
        <w:t>[Pages 1–2]</w:t>
      </w:r>
    </w:p>
    <w:p>
      <w:r>
        <w:t xml:space="preserve">C/1306/22  </w:t>
        <w:br/>
        <w:t xml:space="preserve">RODENSTOCK PENASANDA  </w:t>
        <w:br/>
        <w:t xml:space="preserve">RESOLUTION  </w:t>
        <w:br/>
        <w:t xml:space="preserve">RODENSTOCK PENASANDA  </w:t>
        <w:br/>
        <w:t xml:space="preserve">(C/1306/22)  </w:t>
        <w:br/>
        <w:t>COUNCIL. COMPETITION CHAMBER</w:t>
      </w:r>
    </w:p>
    <w:p>
      <w:r>
        <w:t xml:space="preserve">President  </w:t>
        <w:br/>
        <w:t>Ms. Cani Fernández Vicién</w:t>
      </w:r>
    </w:p>
    <w:p>
      <w:r>
        <w:t xml:space="preserve">Councilors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Madrid, on July 12, 2022</w:t>
      </w:r>
    </w:p>
    <w:p>
      <w:r>
        <w:t>The Competition Chamber has analyzed the merger file processed in accordance with Law 15/2007, of July 3, on the Defense of Competition, consisting of the acquisition by RODENSTOCK GMBH (hereinafter, "RODENSTOCK" or the "Notifier"), through RODENSTOCK BETEILIGUNGEN AUSLAND GMBH ("RBA") of 100% of the share capital, and therefore, the exclusive control of PENASANDA INVESTMENTS, S.L. (hereinafter, "PENASANDA"), and its subsidiary INDO OPTICAL, S.L.U ("INDO") (hereinafter, the "Parties"). The operation has been materialized through the signing of a purchase agreement executed by the Parties dated May 18, 2022 (hereinafter, "Purchase Agreement"). In accordance with the report and proposal submitted by the Directorate of Competition, the Competition Chamber has resolved, under the application of Article 57.2.a) of the aforementioned Law 15/2007, of July 3, to authorize the aforementioned merger operation.</w:t>
      </w:r>
    </w:p>
    <w:p>
      <w:r>
        <w:t xml:space="preserve">National Commission of Markets and Competition 1 of 2  </w:t>
        <w:br/>
        <w:t xml:space="preserve">C/ Alcalá, 47 – 28014 Madrid - C/ Bolivia, 56 – 08018 Barcelona  </w:t>
        <w:br/>
        <w:t>www.cnmc.es</w:t>
      </w:r>
    </w:p>
    <w:p>
      <w:r>
        <w:t xml:space="preserve">C/1306/22  </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