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https://www.cnmc.es/expedientes/c130722</w:t>
      </w:r>
    </w:p>
    <w:p>
      <w:r>
        <w:t>Pages translated : 2</w:t>
      </w:r>
    </w:p>
    <w:p/>
    <w:p>
      <w:r>
        <w:rPr>
          <w:b/>
        </w:rPr>
        <w:t>[Pages 1–2]</w:t>
      </w:r>
    </w:p>
    <w:p>
      <w:r>
        <w:t>C/1307/22 MARGUERITE RCC RESOLUTION MARGUERITE RCC (C/1307/22) COUNCIL. COMPETITION CHAMBER President Ms. Cani Fernández Vicién Councilors Ms. María Pilar Canedo Arrillaga Mr. Carlos Aguilar Paredes Mr. Josep Maria Salas Prat Secretary of the Council Mr. Miguel Bordiu Garcia-Ovies In Madrid, on June 29, 2022 The Competition Chamber has analyzed the concentration file processed in accordance with Law 15/2007, of July 3, on the Defense of Competition, consisting of the acquisition of exclusive control by Marguerite Red, S.L.U. (hereinafter, MARGUERITE), over Red de Calor de Cuenca, S.L.U. (hereinafter, RCC). In accordance with the report and proposal submitted by the Competition Directorate, the Competition Chamber has resolved, in application of article 57.2.a) of the aforementioned Law 15/2007, of July 3, to authorize the aforementioned concentration operation. Likewise, it is necessary to analyze the operation taking into account the Communication from the European Commission on restrictions directly linked to the execution of a concentration and necessary for that purpose (2005/C 56/03); this Chamber considers that, in the present case, the duration of the non-competition, non-solicitation, and confidentiality clauses, insofar as they exceed three (3) years in duration, will not be considered ancillary nor necessary for the operation, and therefore will be subject to the regulations on agreements between companies.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