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https://www.cnmc.es/expedientes/c130822</w:t>
      </w:r>
    </w:p>
    <w:p>
      <w:r>
        <w:t>Pages translated : 1</w:t>
      </w:r>
    </w:p>
    <w:p/>
    <w:p>
      <w:r>
        <w:rPr>
          <w:b/>
        </w:rPr>
        <w:t>[Pages 1–1]</w:t>
      </w:r>
    </w:p>
    <w:p>
      <w:r>
        <w:t xml:space="preserve">C/1308/22  </w:t>
        <w:br/>
        <w:t xml:space="preserve">ARCHIMED SAS/NATUS MEDICAL INCORPORATED  </w:t>
        <w:br/>
        <w:t xml:space="preserve">RESOLUTION  </w:t>
        <w:br/>
        <w:t xml:space="preserve">ARCHIMED SAS/NATUS MEDICAL INCORPORATED  </w:t>
        <w:br/>
        <w:t xml:space="preserve">(C/1308/22)  </w:t>
        <w:br/>
        <w:t xml:space="preserve">COUNCIL. COMPETITION CHAMBER  </w:t>
        <w:br/>
        <w:t xml:space="preserve">President  </w:t>
        <w:br/>
        <w:t xml:space="preserve">Ms. Cani Fernández Vicién  </w:t>
        <w:br/>
        <w:t xml:space="preserve">Councilors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Garcia-Ovies  </w:t>
        <w:br/>
        <w:t xml:space="preserve">In Madrid, on July 12, 2022  </w:t>
        <w:br/>
        <w:t xml:space="preserve">The Competition Chamber has analyzed the merger file processed in accordance with Law 15/2007, of July 3, on the Defense of Competition, consisting of the acquisition by merger by a fund managed by ArchiMed SAS (hereinafter, ARCHIMED) of 100% of the shares of Natus Medical Incorporated (hereinafter, NATUS), a manufacturer of medical products listed on the stock exchange in the United States. In accordance with the report and proposal submitted by the Directorate of Competition, the Competition Chamber has resolved, under the application of Article 57.2.a) of the aforementioned Law 15/2007, of July 3, to authorize the aforementioned merger operation.  </w:t>
        <w:br/>
        <w:t xml:space="preserve">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