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https://www.cnmc.es/expedientes/c130922</w:t>
      </w:r>
    </w:p>
    <w:p>
      <w:r>
        <w:t>Pages translated : 2</w:t>
      </w:r>
    </w:p>
    <w:p/>
    <w:p>
      <w:r>
        <w:rPr>
          <w:b/>
        </w:rPr>
        <w:t>[Pages 1–2]</w:t>
      </w:r>
    </w:p>
    <w:p>
      <w:r>
        <w:t xml:space="preserve">C/1309/22  </w:t>
        <w:br/>
        <w:t xml:space="preserve">EDILIANS / LA ESCANDELLA  </w:t>
        <w:br/>
        <w:t xml:space="preserve">RESOLUTION  </w:t>
        <w:br/>
        <w:t xml:space="preserve">FILE EDILIANS / LA ESCANDELLA  </w:t>
        <w:br/>
        <w:t xml:space="preserve">(C/1309/22)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September 14, 2022</w:t>
      </w:r>
    </w:p>
    <w:p>
      <w:r>
        <w:t>The Competition Chamber has analyzed the concentration file processed in accordance with Law 15/2007, of July 3, on the Defense of Competition, consisting of the acquisition of exclusive control of Cerámica La Escandella, S.A. (hereinafter, LA ESCANDELLA) and, indirectly, over its subsidiary La Escandella Cogeneración S.A (hereinafter, COGENERACION) by LSF10 Edilians Bidco S.A.S. (hereinafter, EDILIANS). According to the report and proposal submitted by the Directorate of Competition, the Competition Chamber has resolved, in application of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in the present case, the duration of the non-competition and non-solicitation clauses is not necessary for the execution of the operation nor ancillary to it in what exceeds two (2) years from the closing of the Proposed Operation, thus remaining subject to the regulations on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