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https://www.cnmc.es/expedientes/c131322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C/1313/22  </w:t>
        <w:br/>
        <w:t xml:space="preserve">MAHOU – LEZIGAM / CASA DARNES  </w:t>
        <w:br/>
        <w:t xml:space="preserve">RESOLUTION  </w:t>
        <w:br/>
        <w:t xml:space="preserve">MAHOU – LEZIGAM / CASA DARNES  </w:t>
        <w:br/>
        <w:t xml:space="preserve">(C/1313/22)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Councilors  </w:t>
        <w:br/>
        <w:t xml:space="preserve">Ms. María Ortiz Aguilar  </w:t>
        <w:br/>
        <w:t xml:space="preserve">Ms. María Pilar Canedo Arrillaga  </w:t>
        <w:br/>
        <w:t xml:space="preserve">Mr. Carlos Aguilar Paredes  </w:t>
        <w:br/>
        <w:t xml:space="preserve">Mr. Josep Maria Salas Prat  </w:t>
        <w:br/>
        <w:t xml:space="preserve">Secretary of the Council  </w:t>
        <w:br/>
        <w:t xml:space="preserve">Mr. Miguel Bordiu Garcia-Ovies  </w:t>
        <w:br/>
        <w:t xml:space="preserve">In Madrid, on July 19, 2022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by Grupo MSM (through its subsidiary  </w:t>
        <w:br/>
        <w:t xml:space="preserve">Voldistribución, S.L.) of joint control over several  </w:t>
        <w:br/>
        <w:t xml:space="preserve">distributors/official dealers of the products manufactured by Grupo  </w:t>
        <w:br/>
        <w:t xml:space="preserve">MSM (essentially beers and waters). In accordance with the report and the  </w:t>
        <w:br/>
        <w:t xml:space="preserve">proposal submitted by the Directorate of Competition, the Competition Chamber  </w:t>
        <w:br/>
        <w:t xml:space="preserve">has resolved, in application of Article 57.2.a) of the aforementioned Law 15/2007, of  </w:t>
        <w:br/>
        <w:t xml:space="preserve">July 3, to authorize the aforementioned concentration operation.  </w:t>
        <w:br/>
        <w:t xml:space="preserve">Likewise, it is appropriate to analyze the operation taking into account the  </w:t>
        <w:br/>
        <w:t xml:space="preserve">Communication from the European Commission on restrictions directly linked to the  </w:t>
        <w:br/>
        <w:t xml:space="preserve">execution of a concentration and necessary for that purpose (2005/C 56/03); this Chamber  </w:t>
        <w:br/>
        <w:t xml:space="preserve">considers that, in the present case, they will not be considered accessory and  </w:t>
        <w:br/>
        <w:t xml:space="preserve">necessary for the operation, thus remaining subject to the regulations on  </w:t>
        <w:br/>
        <w:t xml:space="preserve">agreements between companies:  </w:t>
        <w:br/>
        <w:t xml:space="preserve">National Commission on Markets and Competition 1 of 2  </w:t>
        <w:br/>
        <w:t xml:space="preserve">C/ Alcalá, 47 – 28014 Madrid - C/ Bolivia, 56 – 08018 Barcelona  </w:t>
        <w:br/>
        <w:t>www.cnmc.es</w:t>
      </w:r>
    </w:p>
    <w:p>
      <w:r>
        <w:t xml:space="preserve">C/1313/22  </w:t>
        <w:br/>
        <w:t xml:space="preserve">MAHOU – LEZIGAM / CASA DARNES  </w:t>
        <w:br/>
        <w:t xml:space="preserve">- The duration of the distribution agreement, in all that exceeds (5)  </w:t>
        <w:br/>
        <w:t xml:space="preserve">five years;  </w:t>
        <w:br/>
        <w:t xml:space="preserve">- The content of the distribution agreement, regarding any provision that  </w:t>
        <w:br/>
        <w:t xml:space="preserve">establishes exclusivity or grants the status of preferred supplier or  </w:t>
        <w:br/>
        <w:t xml:space="preserve">buyer.  </w:t>
        <w:br/>
        <w:t xml:space="preserve">Furthermore, to the extent that such distribution agreements have not yet been  </w:t>
        <w:br/>
        <w:t xml:space="preserve">signed and may be subject to changes in their wording, it is indicated that  </w:t>
        <w:br/>
        <w:t xml:space="preserve">everything that, in the content and duration of the same according to the final wording  </w:t>
        <w:br/>
        <w:t xml:space="preserve">of the aforementioned agreements, exceeds what is included in the aforementioned Communication,  </w:t>
        <w:br/>
        <w:t xml:space="preserve">will not be considered necessary for the operation nor accessory to it. All of this in  </w:t>
        <w:br/>
        <w:t xml:space="preserve">accordance with what is indicated in the aforementioned report proposal from the Directorate of  </w:t>
        <w:br/>
        <w:t xml:space="preserve">Competition.  </w:t>
        <w:br/>
        <w:t xml:space="preserve">This Resolution shall be communicated to the Directorate of Competition of the  </w:t>
        <w:br/>
        <w:t xml:space="preserve">National Commission on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may be filed against it before the  </w:t>
        <w:br/>
        <w:t xml:space="preserve">National Court, within two months from the day following its  </w:t>
        <w:br/>
        <w:t xml:space="preserve">notification.  </w:t>
        <w:br/>
        <w:t xml:space="preserve">National Commission on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