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https://www.cnmc.es/expedientes/c131422</w:t>
      </w:r>
    </w:p>
    <w:p>
      <w:r>
        <w:t>Pages translated : 1</w:t>
      </w:r>
    </w:p>
    <w:p/>
    <w:p>
      <w:r>
        <w:rPr>
          <w:b/>
        </w:rPr>
        <w:t>[Pages 1–1]</w:t>
      </w:r>
    </w:p>
    <w:p>
      <w:r>
        <w:t xml:space="preserve">C/1314/22  </w:t>
        <w:br/>
        <w:t xml:space="preserve">ARDIAN / GRUPO AIRE  </w:t>
        <w:br/>
        <w:t xml:space="preserve">RESOLUTION  </w:t>
        <w:br/>
        <w:t xml:space="preserve">ARDIAN / GRUPO AIRE  </w:t>
        <w:br/>
        <w:t xml:space="preserve">(C/1314/22)  </w:t>
        <w:br/>
        <w:t>COMPETITION CHAMBER COUNCIL</w:t>
      </w:r>
    </w:p>
    <w:p>
      <w:r>
        <w:t xml:space="preserve">President  </w:t>
        <w:br/>
        <w:t>Ms. Cani Fernández Vicién</w:t>
      </w:r>
    </w:p>
    <w:p>
      <w:r>
        <w:t xml:space="preserve">Councilors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Madrid, on July 27, 2022</w:t>
      </w:r>
    </w:p>
    <w:p>
      <w:r>
        <w:t>The Competition Chamber has analyzed the merger file processed in accordance with Law 15/2007, of July 3, on the Defense of Competition, consisting of the acquisition by Global Rance S.L.U., a Spanish vehicle company indirectly 100% owned by Ardian Buyout Fund VII B S.L.P. belonging to the Ardian Group (ARDIAN), of exclusive control over Venega Investments, S.L. and its subsidiary entities (GRUPO AIRE). In accordance with the report and proposal submitted by the Competition Directorate, the Competition Chamber has resolved, under the application of Article 57.2.a) of the aforementioned Law 15/2007, of July 3, to authorize the aforementioned merger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