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https://www.cnmc.es/expedientes/c131522</w:t>
      </w:r>
    </w:p>
    <w:p>
      <w:r>
        <w:t>Pages translated : 2</w:t>
      </w:r>
    </w:p>
    <w:p/>
    <w:p>
      <w:r>
        <w:rPr>
          <w:b/>
        </w:rPr>
        <w:t>[Pages 1–2]</w:t>
      </w:r>
    </w:p>
    <w:p>
      <w:r>
        <w:t xml:space="preserve">C/1315/22  </w:t>
        <w:br/>
        <w:t xml:space="preserve">SIDENOR MCD  </w:t>
        <w:br/>
        <w:t xml:space="preserve">RESOLUTION  </w:t>
        <w:br/>
        <w:t xml:space="preserve">FILE SIDENOR MCD  </w:t>
        <w:br/>
        <w:t xml:space="preserve">(C/1315/22)  </w:t>
        <w:br/>
        <w:t>COUNCIL. COMPETITION CHAMBER</w:t>
      </w:r>
    </w:p>
    <w:p>
      <w:r>
        <w:t xml:space="preserve">President  </w:t>
        <w:br/>
        <w:t>Ms. Cani Fernández Vicién</w:t>
      </w:r>
    </w:p>
    <w:p>
      <w:r>
        <w:t xml:space="preserve">Counselors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Garcia-Ovies</w:t>
      </w:r>
    </w:p>
    <w:p>
      <w:r>
        <w:t>In Madrid, on July 27, 2022</w:t>
      </w:r>
    </w:p>
    <w:p>
      <w:r>
        <w:t>The Competition Chamber has analyzed the merger file processed in accordance with Law 15/2007, of July 3, on the Defense of Competition, consisting of the acquisition by SIDENOR ACEROS ESPECIALES S.L.U. (“SIDENOR”) of exclusive control over MECANIZADO CREMALLERAS DE DIRECCIÓN, S.L.U. (“MCD”), through the acquisition of 100% of the shares that make up its capital (hereinafter, the “Operation”). Specifically, SIDENOR acquires 100% of the share capital of MCD from the company BENA INVERSORA 2005, S.L., ultimately controlled by the family [CONFIDENTIAL]. According to the report and proposal submitted by the Competition Directorate, the Competition Chamber has resolved, in application of Article 57.2.a) of the aforementioned Law 15/2007, of July 3, to authorize the aforementioned merger operation.</w:t>
      </w:r>
    </w:p>
    <w:p>
      <w:r>
        <w:t xml:space="preserve">Likewise, it is necessary to analyze the operation taking into account the Communication from the European Commission on restrictions directly linked to the execution of a merger and necessary for that purpose (2005/C 56/03); this Chamber considers that, in the present case, the following are not deemed necessary for the execution of the operation nor ancillary to it, remaining subject to the regulations on agreements between companies:  </w:t>
        <w:br/>
        <w:t xml:space="preserve">- The content of the non-compete clause regarding any limitation on the holding of shares in competing companies for purely financial investment purposes;  </w:t>
        <w:br/>
        <w:t>- The duration of the confidentiality clause, in all that exceeds (2) two years in duration.</w:t>
      </w:r>
    </w:p>
    <w:p>
      <w:r>
        <w:t>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National Commission on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