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https://www.cnmc.es/expedientes/c131622</w:t>
      </w:r>
    </w:p>
    <w:p>
      <w:r>
        <w:t>Pages translated : 2</w:t>
      </w:r>
    </w:p>
    <w:p/>
    <w:p>
      <w:r>
        <w:rPr>
          <w:b/>
        </w:rPr>
        <w:t>[Pages 1–2]</w:t>
      </w:r>
    </w:p>
    <w:p>
      <w:r>
        <w:t xml:space="preserve">C/1316/22  </w:t>
        <w:br/>
        <w:t xml:space="preserve">ASV FUNESER / VALLEJO Y LINARES  </w:t>
        <w:br/>
        <w:t xml:space="preserve">RESOLUTION  </w:t>
        <w:br/>
        <w:t xml:space="preserve">ASV FUNESER / VALLEJO Y LINARES  </w:t>
        <w:br/>
        <w:t xml:space="preserve">(C/1316/22)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July 19, 2022</w:t>
      </w:r>
    </w:p>
    <w:p>
      <w:r>
        <w:t>The Competition Chamber has analyzed the concentration file processed in accordance with Law 15/2007, of July 3, on the Defense of Competition, consisting of the acquisition of exclusive control of 100% of the shares of the company VALLEJO Y LINARES, S.L. (hereinafter, VALLEJO Y LINARES) by ASV FUNESER, S.L.U. (hereinafter, FUNESER). In accordance with the report and the proposal submitted by the Directorate of Competition, the Competition Chamber has resolved, in application of Article 57.2.a) of the aforementioned Law 15/2007, of July 3, to authorize the aforementioned concentration operation.</w:t>
      </w:r>
    </w:p>
    <w:p>
      <w:r>
        <w:t>Likewise, it is necessary to analyze the operation taking into account the Communication from the European Commission regarding restrictions directly linked to the execution of a concentration and necessary for that purpose (2005/C 56/03); this Chamber considers that, in the present case, the material scope of the non-competition clause (regarding the prohibitions on acquiring financial shares that do not imply control of a company considered a competitor of the business) and the temporal scope of the non-competition and confidentiality clause (since they exceed the maximum of two years established by the aforementioned Communication) go beyond what is reasonably required by the notified concentration operation, and are therefore subject to the general regulations applicable to agreements between companies. All of this 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