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https://www.cnmc.es/expedientes/c131722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C/1317/22  </w:t>
        <w:br/>
        <w:t xml:space="preserve">AHSLTROM CAPITAL BV / DECORATION BUSINESS  </w:t>
        <w:br/>
        <w:t xml:space="preserve">AHLSTROM MUNKSJÖ  </w:t>
        <w:br/>
        <w:t xml:space="preserve">RESOLUTION  </w:t>
        <w:br/>
        <w:t xml:space="preserve">FILE AHSLTROM CAPITAL BV / DECORATION BUSINESS  </w:t>
        <w:br/>
        <w:t xml:space="preserve">AHLSTROM MUNKSJÖ  </w:t>
        <w:br/>
        <w:t xml:space="preserve">(C/1317/22)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Counselors  </w:t>
        <w:br/>
        <w:t xml:space="preserve">Ms. María Ortiz Aguilar  </w:t>
        <w:br/>
        <w:t xml:space="preserve">Ms. María Pilar Canedo Arrillaga  </w:t>
        <w:br/>
        <w:t xml:space="preserve">Mr. Carlos Aguilar Paredes  </w:t>
        <w:br/>
        <w:t xml:space="preserve">Mr. Josep Maria Salas Prat  </w:t>
        <w:br/>
        <w:t xml:space="preserve">Secretary of the Council  </w:t>
        <w:br/>
        <w:t xml:space="preserve">Mr. Miguel Bordiu Garcia-Ovies  </w:t>
        <w:br/>
        <w:t xml:space="preserve">In Madrid, on July 27, 2022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acquisition of exclusive and indirect control by  </w:t>
        <w:br/>
        <w:t xml:space="preserve">AHLSTROM CAPITAL B.V. (hereinafter, AC), a subsidiary of AHLSTRÖM CAPITAL  </w:t>
        <w:br/>
        <w:t xml:space="preserve">OY, over the Decoration Business of AHLSTROM MUNKSJÖ AYJ (hereinafter,  </w:t>
        <w:br/>
        <w:t xml:space="preserve">MUNKSJÖ) through the purchase of 100% of the shares of the  </w:t>
        <w:br/>
        <w:t xml:space="preserve">share capital of said Business via ACN ACQUISITION BIDCO, a  </w:t>
        <w:br/>
        <w:t xml:space="preserve">special purpose vehicle and 100% subsidiary of ACN ACQUISITION TOPCO AB,  </w:t>
        <w:br/>
        <w:t xml:space="preserve">a company over which AC exercises exclusive control with a  </w:t>
        <w:br/>
        <w:t xml:space="preserve">60.005% shareholding in its share capital. According to the report and  </w:t>
        <w:br/>
        <w:t xml:space="preserve">proposal submitted by the Competition Directorate, the Competition Chamber  </w:t>
        <w:br/>
        <w:t xml:space="preserve">has resolved, in application of Article 57.2.a) of the aforementioned Law  </w:t>
        <w:br/>
        <w:t xml:space="preserve">15/2007, of July 3, to authorize the aforementioned concentration operation.  </w:t>
        <w:br/>
        <w:t xml:space="preserve">Likewise, it is appropriate to analyze the operation taking into account  </w:t>
        <w:br/>
        <w:t xml:space="preserve">the Communication from the European Commission on restrictions directly  </w:t>
        <w:br/>
        <w:t xml:space="preserve">linked to the execution of a concentration and necessary for that purpose  </w:t>
        <w:br/>
        <w:t xml:space="preserve">(2005/C 56/03); this Chamber considers that, in the present case, they will  </w:t>
        <w:br/>
        <w:t xml:space="preserve">not be considered ancillary  </w:t>
        <w:br/>
        <w:t xml:space="preserve">National Commission of Markets and Competition 1 of 2  </w:t>
        <w:br/>
        <w:t xml:space="preserve">C/ Alcalá, 47 – 28014 Madrid - C/ Bolivia, 56 – 08018 Barcelona  </w:t>
        <w:br/>
        <w:t>www.cnmc.es</w:t>
      </w:r>
    </w:p>
    <w:p>
      <w:r>
        <w:t xml:space="preserve">C/1317/22  </w:t>
        <w:br/>
        <w:t xml:space="preserve">AHSLTROM CAPITAL BV / DECORATION BUSINESS  </w:t>
        <w:br/>
        <w:t xml:space="preserve">AHLSTROM MUNKSJÖ  </w:t>
        <w:br/>
        <w:t xml:space="preserve">nor necessary for the operation, thus remaining subject to the regulations on  </w:t>
        <w:br/>
        <w:t xml:space="preserve">agreements between companies:  </w:t>
        <w:br/>
        <w:t xml:space="preserve">- The duration of the non-compete clause [16.1.2.a)] and the non-solicitation  </w:t>
        <w:br/>
        <w:t xml:space="preserve">clause [16.1.2.b)] of the Shareholders' Agreement insofar as they exceed  </w:t>
        <w:br/>
        <w:t xml:space="preserve">two (2) years in duration from the moment of execution of the  </w:t>
        <w:br/>
        <w:t xml:space="preserve">operation.  </w:t>
        <w:br/>
        <w:t xml:space="preserve">- The duration of the seller's non-solicitation obligation regarding  </w:t>
        <w:br/>
        <w:t xml:space="preserve">the Decoration Business subject to transfer of the Shareholders' Agreement  </w:t>
        <w:br/>
        <w:t xml:space="preserve">[16.1.1.c)], insofar as it exceeds three (3) years in duration.  </w:t>
        <w:br/>
        <w:t xml:space="preserve">- The content of the non-compete and non-solicitation clauses of  </w:t>
        <w:br/>
        <w:t xml:space="preserve">AHLSTROM CAPITAL (Buyer) regarding the Decoration Business (Acquired  </w:t>
        <w:br/>
        <w:t xml:space="preserve">Business) of the Shareholders' Agreement [16.1.1.a) and 16.1.1. c)]  </w:t>
        <w:br/>
        <w:t xml:space="preserve">as long as their purpose is not to protect the Retained Business by the  </w:t>
        <w:br/>
        <w:t xml:space="preserve">Seller, but to protect its interest as a minority investor in the  </w:t>
        <w:br/>
        <w:t xml:space="preserve">Business subject to acquisition.  </w:t>
        <w:br/>
        <w:t xml:space="preserve">Finally, regarding the supply and transitional service agreements,  </w:t>
        <w:br/>
        <w:t xml:space="preserve">inasmuch as they have not yet been drafted or signed, the necessity and  </w:t>
        <w:br/>
        <w:t xml:space="preserve">accessoriness of their content and duration cannot be assessed, although  </w:t>
        <w:br/>
        <w:t xml:space="preserve">it is indicated that anything exceeding what is included in the  </w:t>
        <w:br/>
        <w:t xml:space="preserve">aforementioned Communication for this type of agreements will not be  </w:t>
        <w:br/>
        <w:t xml:space="preserve">considered necessary for their execution nor ancillary to it, thus  </w:t>
        <w:br/>
        <w:t xml:space="preserve">remaining subject to the regulations on agreements between companies.  </w:t>
        <w:br/>
        <w:t xml:space="preserve">All of this in accordance with what is indicated in the aforementioned  </w:t>
        <w:br/>
        <w:t xml:space="preserve">report proposal from the Competition Directorate.  </w:t>
        <w:br/>
        <w:t xml:space="preserve">This Resolution shall be communicated to the Competition Directorate of  </w:t>
        <w:br/>
        <w:t xml:space="preserve">the National Commission of Markets and Competition and notified to the  </w:t>
        <w:br/>
        <w:t xml:space="preserve">interested party, informing them that it concludes the administrative  </w:t>
        <w:br/>
        <w:t xml:space="preserve">process and that a contentious-administrative appeal may be filed against  </w:t>
        <w:br/>
        <w:t xml:space="preserve">it before the National Court, within two months from the day following  </w:t>
        <w:br/>
        <w:t xml:space="preserve">its notification.  </w:t>
        <w:br/>
        <w:t xml:space="preserve">National Commission of Markets and Competition 2 of 2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