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https://www.cnmc.es/expedientes/c131822</w:t>
      </w:r>
    </w:p>
    <w:p>
      <w:r>
        <w:t>Pages translated : 2</w:t>
      </w:r>
    </w:p>
    <w:p/>
    <w:p>
      <w:r>
        <w:rPr>
          <w:b/>
        </w:rPr>
        <w:t>[Pages 1–2]</w:t>
      </w:r>
    </w:p>
    <w:p>
      <w:r>
        <w:t xml:space="preserve">C/1318/22  </w:t>
        <w:br/>
        <w:t xml:space="preserve">WEDDING PLANNER / ZANKYOU VENTURES  </w:t>
        <w:br/>
        <w:t xml:space="preserve">RESOLUTION  </w:t>
        <w:br/>
        <w:t xml:space="preserve">FILE WEDDING PLANNER / ZANKYOU VENTURES  </w:t>
        <w:br/>
        <w:t xml:space="preserve">(C/1318/22)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Ms. María Jesús Martín Martínez</w:t>
      </w:r>
    </w:p>
    <w:p>
      <w:r>
        <w:t xml:space="preserve">Secretary of the Council  </w:t>
        <w:br/>
        <w:t>Mr. Miguel Bordiu Garcia-Ovies</w:t>
      </w:r>
    </w:p>
    <w:p>
      <w:r>
        <w:t>In Barcelona, on December 14, 2022</w:t>
      </w:r>
    </w:p>
    <w:p>
      <w:r>
        <w:t>The Competition Chamber has analyzed the concentration file processed in accordance with Law 15/2007, of July 3, on the Defense of Competition, consisting of the acquisition of exclusive control of Zankyou Ventures, S.L. (ZANKYOU) by Wedding Planner, S.L.U. (WEDDING PLANNER) through a purchase agreement by which WEDDING PLANNER will acquire 100% of the shares of ZANKYOU. According to the report and the proposal submitted by the Directorate of Competition, the Competition Chamber has resolved, in application of Article 57.2.b) of the aforementioned Law 15/2007, of July 3, to authorize the said concentration operation subject to the fulfillment of the commitments presented by WEDDING PLANNER, S.L.U. on December 1, 2022.</w:t>
      </w:r>
    </w:p>
    <w:p>
      <w:r>
        <w:t xml:space="preserve">This Resolution shall be communicated to the Directorate of Competition of the National Commission on Markets and Competition and notified to the interested party,  </w:t>
        <w:br/>
        <w:t xml:space="preserve">National Commission on Markets and Competition 1 of 2  </w:t>
        <w:br/>
        <w:t xml:space="preserve">C/ Alcalá, 47 – 28014 Madrid - C/ Bolivia, 56 – 08018 Barcelona  </w:t>
        <w:br/>
        <w:t>www.cnmc.es</w:t>
      </w:r>
    </w:p>
    <w:p>
      <w:r>
        <w:t xml:space="preserve">C/1318/22  </w:t>
        <w:br/>
        <w:t xml:space="preserve">WEDDING PLANNER / ZANKYOU VENTURES  </w:t>
        <w:br/>
        <w:t xml:space="preserve">informing them that it concludes the administrative route and that a contentious-administrative appeal can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