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https://www.cnmc.es/expedientes/c132122</w:t>
      </w:r>
    </w:p>
    <w:p>
      <w:r>
        <w:t>Pages translated : 2</w:t>
      </w:r>
    </w:p>
    <w:p/>
    <w:p>
      <w:r>
        <w:rPr>
          <w:b/>
        </w:rPr>
        <w:t>[Pages 1–2]</w:t>
      </w:r>
    </w:p>
    <w:p>
      <w:r>
        <w:t xml:space="preserve">C/1321/22  </w:t>
        <w:br/>
        <w:t xml:space="preserve">KKR / IVI  </w:t>
        <w:br/>
        <w:t xml:space="preserve">RESOLUTION  </w:t>
        <w:br/>
        <w:t xml:space="preserve">FILE KKR / IVI  </w:t>
        <w:br/>
        <w:t xml:space="preserve">(C/1321/22)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December 21, 2022</w:t>
      </w:r>
    </w:p>
    <w:p>
      <w:r>
        <w:t>The Competition Chamber has analyzed the concentration file processed in accordance with Law 15/2007, of July 3, on the Defense of Competition, consisting of the acquisition of exclusive control of the companies IVI-RMA Global, S.L. (IVI-RMA) as well as the holding companies Valwealth Management, S.L. (Valwealth), IVI RMA Global Real Estate Assets, S.L. (IVI Assets) and Genesis Property Management, LLC (US Propco) (hereinafter, IVI-RMA, Valwealth, IVI Assets and US Propco, together with their direct or indirect subsidiaries, shall be collectively referred to as IV) by KKR &amp; Co Inc (KKR), through KKR Inception BidCo, S.L.U. (KKR Inception BidCo), a vehicle company created specifically for the operation. In accordance with the report and proposal submitted by the Competition Directorate, the Competition Chamber has resolved, under the application of Article 57.2.b) of the aforementioned Law 15/2007, of July 3, to authorize the aforementioned concentration operation subject to the fulfillment of the commitments presented by the notifying party on November 15 and 16, 2022.</w:t>
      </w:r>
    </w:p>
    <w:p>
      <w:r>
        <w:t xml:space="preserve">National Commission of Markets and Competition 1 of 2  </w:t>
        <w:br/>
        <w:t xml:space="preserve">C/ Alcalá, 47 – 28014 Madrid - C/ Bolivia, 56 – 08018 Barcelona  </w:t>
        <w:br/>
        <w:t>www.cnmc.es</w:t>
      </w:r>
    </w:p>
    <w:p>
      <w:r>
        <w:t xml:space="preserve">C/1321/22  </w:t>
        <w:br/>
        <w:t xml:space="preserve">KKR / IVI  </w:t>
        <w:br/>
        <w:t>Likewise, taking into account the practice of the CNMC and what is established in the Commission Communication on restrictions directly linked to the execution of a concentration and necessary for that purpose (2005/C 56/03); this Chamber considers that in the present case, the national geographical scope of the non-compete clause applicable to the healthcare services market exceeds what is stated in the aforementioned Communication, since its application in territories where the acquired entity is not present goes beyond what is reasonably required by the notified concentration operation and should not be considered necessary or ancillary, thus remaining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