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https://www.cnmc.es/expedientes/c132222</w:t>
      </w:r>
    </w:p>
    <w:p>
      <w:r>
        <w:t>Pages translated : 2</w:t>
      </w:r>
    </w:p>
    <w:p/>
    <w:p>
      <w:r>
        <w:rPr>
          <w:b/>
        </w:rPr>
        <w:t>[Pages 1–2]</w:t>
      </w:r>
    </w:p>
    <w:p>
      <w:r>
        <w:t xml:space="preserve">C/1322/22  </w:t>
        <w:br/>
        <w:t xml:space="preserve">OPTRUST-LOMA-USSL-ALTER / ALTER CÁCERES-ALTER MÉRIDA  </w:t>
        <w:br/>
        <w:t xml:space="preserve">RESOLUTION  </w:t>
        <w:br/>
        <w:t xml:space="preserve">FILE OPTRUST-LOMA-USSL-ALTER / ALTER CÁCERES-ALTER MÉRIDA  </w:t>
        <w:br/>
        <w:t xml:space="preserve">(C/1322/22)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on September 27, 2022</w:t>
      </w:r>
    </w:p>
    <w:p>
      <w:r>
        <w:t>The Competition Chamber has analyzed the concentration file processed in accordance with Law 15/2007, of July 3, on the Defense of Competition, consisting of the acquisition of joint control of the companies Alter Enersun Cáceres Uno, S.L.U. (ALTER CÁCERES) and Alter Enersun Mérida Uno, S.L.U. (ALTER MÉRIDA) by OPSEU Pension Plan Trust (OPTRUST), Loma Management Investments 2015, S.L. (LOMA), Universities Superannuation Scheme Limited (USSL) and Alter Enersun (ALTER), through the vehicle company Bruc Alter Energías Renovables, S.A. (BRUC-ALTER). According to the report and proposal submitted by the Directorate of Competition, the Competition Chamber has resolved, in application of Article 57.2.a) of the aforementioned Law 15/2007, of July 3, to authorize the aforementioned concentration operation.</w:t>
      </w:r>
    </w:p>
    <w:p>
      <w:r>
        <w:t xml:space="preserve">National Commission of Markets and Competition 1 of 2  </w:t>
        <w:br/>
        <w:t xml:space="preserve">C/ Alcalá, 47 – 28014 Madrid - C/ Bolivia, 56 – 08018 Barcelona  </w:t>
        <w:br/>
        <w:t>www.cnmc.es</w:t>
      </w:r>
    </w:p>
    <w:p>
      <w:r>
        <w:t xml:space="preserve">C/1322/22  </w:t>
        <w:br/>
        <w:t xml:space="preserve">OPTRUST-LOMA-USSL-ALTER / ALTER CÁCERES-ALTER MÉRIDA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