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https://www.cnmc.es/expedientes/c132422</w:t>
      </w:r>
    </w:p>
    <w:p>
      <w:r>
        <w:t>Pages translated : 2</w:t>
      </w:r>
    </w:p>
    <w:p/>
    <w:p>
      <w:r>
        <w:rPr>
          <w:b/>
        </w:rPr>
        <w:t>[Pages 1–2]</w:t>
      </w:r>
    </w:p>
    <w:p>
      <w:r>
        <w:t>C/1324/22 KNORR-BREMSE / COJALI RESOLUTION FILE KNORR-BREMSE / COJALI (C/1324/22) COUNCIL. COMPETITION CHAMBER President Ms. Cani Fernández Vicién Councilors Ms. María Ortiz Aguilar Ms. María Pilar Canedo Arrillaga Mr. Carlos Aguilar Paredes Mr. Josep Maria Salas Prat Secretary of the Council Mr. Miguel Bordiu Garcia-Ovies In Barcelona, on September 27, 2022 The Competition Chamber has analyzed the concentration file processed in accordance with Law 15/2007, of July 3, on the Defense of Competition, consisting of the acquisition by KNORR-BREMSE SYSTEME FÜR NUTZFAHRZEUGE GMBH (“KB”) of exclusive control over COJALI, S.L. (“COJALI”) through the acquisition of 55% of the shares that make up its share capital (hereinafter, the “Operation”). Specifically, KB acquires 55% of the share capital of COJALI from the companies GLANAMA, S.L. (“GLANAMA”), INIESPINA, S.L. (“INIESPINA”), JOMALGO E HIJOS, S.L. (“JOMALGO”), and DIPLACRUZ, S.L. (“DIPLACRUZ”). In accordance with the report and proposal submitted by the Directorate of Competition, the Competition Chamber has resolved, under the application of Article 57.2.a) of the aforementioned Law 15/2007, of July 3, to authorize the aforementioned concentration operation. Likewise, it is necessary to analyze the operation taking into account the Communication from the European Commission on restrictions directly linked to the execution of a concentration and necessary for that purpose (2005/C 56/03); this Chamber considers that, in the present case, the following will not be considered necessary for the National Commission on Markets and Competition: - The duration of the non-competition, non-solicitation, and confidentiality obligations of the Sellers with respect to the Target's business established in the Main Contract to the extent that it exceeds two (2) years from the date of the operation; - The obligation of non-solicitation of the Buyer with respect to the Sellers included in the Main Contract insofar as it constitutes a restriction in favor of the Sellers in a scenario of exclusive control; - The restrictions on the acquisition or holding of shares in companies competing with the Target for purely financial investment purposes that do not grant management functions or substantial influence and regardless of the participation in the capital in question included both in the Main Contract and in the Contract with Diplacruz. All of this in accordance with what is indicated in the aforementioned report proposal from the Directorate of Competition. 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