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https://www.cnmc.es/expedientes/c132522</w:t>
      </w:r>
    </w:p>
    <w:p>
      <w:r>
        <w:t>Pages translated : 2</w:t>
      </w:r>
    </w:p>
    <w:p/>
    <w:p>
      <w:r>
        <w:rPr>
          <w:b/>
        </w:rPr>
        <w:t>[Pages 1–2]</w:t>
      </w:r>
    </w:p>
    <w:p>
      <w:r>
        <w:t xml:space="preserve">C/1325/22  </w:t>
        <w:br/>
        <w:t xml:space="preserve">MAYR-MELNHOF KARTON AG ESSENTRA PACKAGING  </w:t>
        <w:br/>
        <w:t xml:space="preserve">RESOLUTION  </w:t>
        <w:br/>
        <w:t xml:space="preserve">FILE MAYR-MELNHOF KARTON AG ESSENTRA PACKAGING  </w:t>
        <w:br/>
        <w:t xml:space="preserve">(C/1325/22)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September 14, 2022</w:t>
      </w:r>
    </w:p>
    <w:p>
      <w:r>
        <w:t>The Competition Chamber has analyzed the merger file processed in accordance with Law 15/2007, of July 3, on the Defense of Competition, consisting of the acquisition of exclusive control by MAYR-MELNHOF KARTON AG (hereinafter, "MM"), through its subsidiary MM PACKAGING GmbH, over ESSENTRA PACKAGING &amp; SECURING SOLUTIONS LIMITED and ESSENTRA PACKAGING US (jointly, "ESSENTRA PACKAGING"), owned by ESSENTRA PLC. In accordance with the report and proposal submitted by the Directorate of Competition, the Competition Chamber has resolved, applying Article 57.2.a) of the aforementioned Law 15/2007, of July 3, to authorize the said merger operation.</w:t>
      </w:r>
    </w:p>
    <w:p>
      <w:r>
        <w:t xml:space="preserve">It is also necessary to analyze the operation taking into account the Communication from the European Commission on restrictions directly linked to the execution of a merger and necessary for that purpose (2005/C 56/03); this Chamber considers that, in the present case, the following will not be deemed necessary or ancillary to the operation and will therefore be subject to the regulations on agreements between companies:  </w:t>
        <w:br/>
        <w:t xml:space="preserve">• The non-solicitation clause that protects the seller.  </w:t>
        <w:br/>
        <w:t xml:space="preserve">• The duration of the confidentiality clause, insofar as it exceeds two (2) years in duration.  </w:t>
        <w:br/>
        <w:t>• Any limitation on the seller regarding the holding of shares for purely financial investment purposes that do not confer directly or indirectly management functions or substantial influence in the competing company, regardless of the percentage of participation involved.</w:t>
      </w:r>
    </w:p>
    <w:p>
      <w:r>
        <w:t>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