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https://www.cnmc.es/expedientes/c132622</w:t>
      </w:r>
    </w:p>
    <w:p>
      <w:r>
        <w:t>Pages translated : 2</w:t>
      </w:r>
    </w:p>
    <w:p/>
    <w:p>
      <w:r>
        <w:rPr>
          <w:b/>
        </w:rPr>
        <w:t>[Pages 1–2]</w:t>
      </w:r>
    </w:p>
    <w:p>
      <w:r>
        <w:t xml:space="preserve">C/1326/22  </w:t>
        <w:br/>
        <w:t xml:space="preserve">STAR MADRID RETAIL – ACTIVOS MERCEDES  </w:t>
        <w:br/>
        <w:t xml:space="preserve">RESOLUTION  </w:t>
        <w:br/>
        <w:t xml:space="preserve">FILE STAR MADRID RETAIL – ACTIVOS MERCEDES  </w:t>
        <w:br/>
        <w:t xml:space="preserve">(C/1326/22)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on September 27, 2022</w:t>
      </w:r>
    </w:p>
    <w:p>
      <w:r>
        <w:t>The Competition Chamber has analyzed the concentration file processed in accordance with Law 15/2007, of July 3, on the Defense of Competition, consisting of the acquisition by Star Madrid Retail, S.L. (STAR), a company 55% owned by Ágreda Automóvil, S.A. (ÁGREDA) and 45% by Louzao Retail, S.L.U. (LOUZAO), of exclusive control over a business branch (consisting of a proprietary dealership with three work centers, located in Madrid) of Mercedes-Benz Retail S.A.U. (MERCEDES), a wholly owned subsidiary of Mercedes-Benz España, S.A., which in turn is a wholly owned subsidiary of the Mercedes Benz Group, A.G., with its registered office in Germany. In accordance with the report and proposal submitted by the Competition Directorate, the Competition Chamber has resolved, under Article 57.2.a) of the aforementioned Law 15/2007, of July 3, to authorize the aforementioned concentration operation.</w:t>
      </w:r>
    </w:p>
    <w:p>
      <w:r>
        <w:t xml:space="preserve">Likewise, it is necessary to analyze the operation taking into account the Communication from the European Commission on restrictions directly linked to the execution of a concentration and necessary for that purpose (2005/C 56/03); this Chamber, in the present case, considers that:  </w:t>
        <w:br/>
        <w:t xml:space="preserve">National Commission of Markets and Competition 1 of 2  </w:t>
        <w:br/>
        <w:t xml:space="preserve">C/ Alcalá, 47 – 28014 Madrid - C/ Bolivia, 56 – 08018 Barcelona  </w:t>
        <w:br/>
        <w:t>www.cnmc.es</w:t>
      </w:r>
    </w:p>
    <w:p>
      <w:r>
        <w:t xml:space="preserve">C/1326/22  </w:t>
        <w:br/>
        <w:t xml:space="preserve">STAR MADRID RETAIL – ACTIVOS MERCEDES  </w:t>
        <w:br/>
        <w:t xml:space="preserve">• the confidentiality agreement included in the Shareholders' Agreement could go beyond what is required by the operation, thus remaining subject to the general regulations applicable to agreements between companies in what exceeds the duration of the joint venture,  </w:t>
        <w:br/>
        <w:t xml:space="preserve">• the Preference regime set forth in clause five of the Shareholders' Agreement could go beyond what is reasonably required by the notified concentration operation, thus remaining subject to the general regulations applicable to agreements between companies,  </w:t>
        <w:br/>
        <w:t>• regarding the confidentiality agreement included in the Lease Agreement, the licensing agreements and supply obligations referred to as “Dealership and Servicing Contract,” the Lease Agreement and the Future Lease Agreement, while pending final drafting and signature, the Competition Directorate currently does not have sufficient information to assess their ancillary nature, remaining subject to the regulations on agreements between companies in all that exceeds, both in content and duration, what is established in the Communication.</w:t>
      </w:r>
    </w:p>
    <w:p>
      <w:r>
        <w:t>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