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https://www.cnmc.es/expedientes/c132722</w:t>
      </w:r>
    </w:p>
    <w:p>
      <w:r>
        <w:t>Pages translated : 2</w:t>
      </w:r>
    </w:p>
    <w:p/>
    <w:p>
      <w:r>
        <w:rPr>
          <w:b/>
        </w:rPr>
        <w:t>[Pages 1–2]</w:t>
      </w:r>
    </w:p>
    <w:p>
      <w:r>
        <w:t xml:space="preserve">C/1327/22  </w:t>
        <w:br/>
        <w:t xml:space="preserve">PEEK A BOO S.A.S. / EXCLUSIVAS RIMAR S.L.  </w:t>
        <w:br/>
        <w:t xml:space="preserve">RESOLUTION  </w:t>
        <w:br/>
        <w:t xml:space="preserve">FILE PEEK A BOO S.A.S. / EXCLUSIVAS RIMAR S.L.  </w:t>
        <w:br/>
        <w:t xml:space="preserve">(C/1327/22)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on September 27, 2022</w:t>
      </w:r>
    </w:p>
    <w:p>
      <w:r>
        <w:t>The Competition Chamber has analyzed the concentration file processed in accordance with Law 15/2007, of July 3, on the Defense of Competition, consisting of the acquisition of exclusive control by PEEK A BOO, S.A.S. (hereinafter, PEEK A BOO), a subsidiary of BLUEGEM CAPITAL PARTNERS LLP (hereinafter, BLUEGEM), over EXCLUSIVAS RIMAR, S.L. (hereinafter, EXCLUSIVAS RIMAR) through the purchase of approximately 95% of the shares of the capital stock of said company. In accordance with the report and proposal submitted by the Directorate of Competition, the Competition Chamber has resolved, under the application of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regarding the content and duration of the ancillary restrictions included in the contracts through which the operation is articulated, their assessment will be subject to the principle of self-assessment by the National Commission of Markets and Competition.</w:t>
      </w:r>
    </w:p>
    <w:p>
      <w:r>
        <w:t>In this sense, anything that exceeds what is included in the Communication from the Commission on restrictions directly linked to the execution of a concentration operation and necessary for that purpose will not be considered necessary for the execution of the operation nor ancillary to it, remaining subject to the provisions for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