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https://www.cnmc.es/expedientes/c132822</w:t>
      </w:r>
    </w:p>
    <w:p>
      <w:r>
        <w:t>Pages translated : 2</w:t>
      </w:r>
    </w:p>
    <w:p/>
    <w:p>
      <w:r>
        <w:rPr>
          <w:b/>
        </w:rPr>
        <w:t>[Pages 1–2]</w:t>
      </w:r>
    </w:p>
    <w:p>
      <w:r>
        <w:t xml:space="preserve">C/1328/22  </w:t>
        <w:br/>
        <w:t xml:space="preserve">GRUPO RESINAS BRASIL- CAFOSA GUM  </w:t>
        <w:br/>
        <w:t xml:space="preserve">RESOLUTION  </w:t>
        <w:br/>
        <w:t xml:space="preserve">FILE GRUPO RESINAS BRASIL – CAFOSA GUM  </w:t>
        <w:br/>
        <w:t xml:space="preserve">(C/1328/22)  </w:t>
        <w:br/>
        <w:t xml:space="preserve">COUNCIL. COMPETITION CHAMBER  </w:t>
        <w:br/>
        <w:t xml:space="preserve">President  </w:t>
        <w:br/>
        <w:t xml:space="preserve">Ms. Cani Fernández Vicién  </w:t>
        <w:br/>
        <w:t xml:space="preserve">Counselors  </w:t>
        <w:br/>
        <w:t xml:space="preserve">Ms. María Ortiz Aguilar  </w:t>
        <w:br/>
        <w:t xml:space="preserve">Ms. María Pilar Canedo Arrillaga  </w:t>
        <w:br/>
        <w:t xml:space="preserve">Mr. Carlos Aguilar Paredes  </w:t>
        <w:br/>
        <w:t xml:space="preserve">Mr. Josep Maria Salas Prat  </w:t>
        <w:br/>
        <w:t xml:space="preserve">Secretary of the Council  </w:t>
        <w:br/>
        <w:t xml:space="preserve">Mr. Miguel Bordiu Garcia-Ovies  </w:t>
        <w:br/>
        <w:t xml:space="preserve">In Barcelona, on September 27, 2022  </w:t>
        <w:br/>
        <w:t xml:space="preserve">The Competition Chamber has analyzed the concentration file processed in accordance with Law 15/2007, of July 3, on the Defense of Competition, consisting of the acquisition by GRUPO RESINAS Brasil (hereinafter, GRB) through its Spanish subsidiary LURESA RESINAS, S.L. (hereinafter, LRSL) of the exclusive control of CAFOSA GUM S.A.U., 100% owned by MARS MULTISALES SPAIN, S.L.U. In accordance with the report and proposal submitted by the Directorate of Competition, the Competition Chamber has resolved, applying Article 57.2.a) of the aforementioned Law 15/2007, of July 3, to authorize the aforementioned concentration operation.  </w:t>
        <w:br/>
        <w:t xml:space="preserve">Likewise, it is appropriate to analyze the operation taking into account the Communication from the European Commission on restrictions directly linked to the execution of a concentration and necessary for that purpose (2005/C 56/03); this Chamber considers that, in the present case, regarding the content and duration of the ancillary restrictions included in the contracts through which the operation is structured, their assessment will be subject to the principle of self-assessment by the parties to the operation. In this sense, anything that exceeds what is included in the Communication from the National Commission on Markets and Competition will not be considered necessary for the execution of the operation or ancillary to it, remaining subject to the provisions for agreements between companies. All of this in accordance with what is indicated in the aforementioned report proposal from the Directorate of Competition.  </w:t>
        <w:br/>
        <w:t xml:space="preserve">This Resolution shall be communicated to the Directorate of Competition of the National Commission on Markets and Competition and notified to the interested party, informing them that it concludes the administrative process and that a contentious-administrative appeal may be filed against it before the National Court, within two months from the day following its notification.  </w:t>
        <w:br/>
        <w:t>National Commission on Markets and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