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https://www.cnmc.es/expedientes/c132922</w:t>
      </w:r>
    </w:p>
    <w:p>
      <w:r>
        <w:t>Pages translated : 1</w:t>
      </w:r>
    </w:p>
    <w:p/>
    <w:p>
      <w:r>
        <w:rPr>
          <w:b/>
        </w:rPr>
        <w:t>[Pages 1–1]</w:t>
      </w:r>
    </w:p>
    <w:p>
      <w:r>
        <w:t xml:space="preserve">C/1329/22  </w:t>
        <w:br/>
        <w:t xml:space="preserve">LOGISTA / EL MOSCA  </w:t>
        <w:br/>
        <w:t xml:space="preserve">RESOLUTION  </w:t>
        <w:br/>
        <w:t xml:space="preserve">FILE LOGISTA / EL MOSCA  </w:t>
        <w:br/>
        <w:t xml:space="preserve">(C/1329/22)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Barcelona, on September 27, 2022</w:t>
      </w:r>
    </w:p>
    <w:p>
      <w:r>
        <w:t>The Competition Chamber has analyzed the concentration file processed in accordance with Law 15/2007, of July 3, on the Defense of Competition, consisting of the acquisition of exclusive control by Compañía de Distribución Integral Logista Holdings, S.A. (“LOGISTA”) over Herinvemol, S.L. (“EL MOSCA”). Logista will acquire sixty percent (60%) of the shares of EL MOSCA. The remaining forty percent (40%) will be divided among Herrui (13.1%), Antilia (13.8%), and Inverglobal (13.1%). The operation is formalized through a Sale Agreement. According to the report and proposal submitted by the Directorate of Competition, the Competition Chamber has resolved, in application of Article 57.2.a) of the aforementioned Law 15/2007, of July 3, to authorize the aforementioned concentration operation.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p>
      <w:r>
        <w:t xml:space="preserve">National Commission on Markets and Competition  </w:t>
        <w:br/>
        <w:t xml:space="preserve">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