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https://www.cnmc.es/expedientes/c133122</w:t>
      </w:r>
    </w:p>
    <w:p>
      <w:r>
        <w:t>Pages translated : 2</w:t>
      </w:r>
    </w:p>
    <w:p/>
    <w:p>
      <w:r>
        <w:rPr>
          <w:b/>
        </w:rPr>
        <w:t>[Pages 1–2]</w:t>
      </w:r>
    </w:p>
    <w:p>
      <w:r>
        <w:t xml:space="preserve">C/1331/22  </w:t>
        <w:br/>
        <w:t xml:space="preserve">SOLARPACK / SOLAER  </w:t>
        <w:br/>
        <w:t xml:space="preserve">RESOLUTION  </w:t>
        <w:br/>
        <w:t xml:space="preserve">FILE SOLARPACK / SOLAER  </w:t>
        <w:br/>
        <w:t xml:space="preserve">(C/1331/22)  </w:t>
        <w:br/>
        <w:t>COUNCIL. COMPETITION CHAMBER</w:t>
      </w:r>
    </w:p>
    <w:p>
      <w:r>
        <w:t xml:space="preserve">President  </w:t>
        <w:br/>
        <w:t>Ms. Cani Fernández Vicién</w:t>
      </w:r>
    </w:p>
    <w:p>
      <w:r>
        <w:t xml:space="preserve">Counselors  </w:t>
        <w:br/>
        <w:t xml:space="preserve">Ms. María Pilar Canedo Arrillaga  </w:t>
        <w:br/>
        <w:t xml:space="preserve">Mr. Carlos Aguilar Paredes  </w:t>
        <w:br/>
        <w:t xml:space="preserve">Mr. Josep Maria Salas Prat  </w:t>
        <w:br/>
        <w:t>Ms. María Jesús Martín Martínez</w:t>
      </w:r>
    </w:p>
    <w:p>
      <w:r>
        <w:t xml:space="preserve">Secretary of the Council  </w:t>
        <w:br/>
        <w:t>Mr. Miguel Bordiu Garcia-Ovies</w:t>
      </w:r>
    </w:p>
    <w:p>
      <w:r>
        <w:t>In Madrid, on October 19, 2022</w:t>
      </w:r>
    </w:p>
    <w:p>
      <w:r>
        <w:t>The Competition Chamber has analyzed the concentration file processed in accordance with Law 15/2007, of July 3, on the Defense of Competition, consisting of the acquisition by SOLARPACK CORPORACIÓN TECNOLÓGICA, S.A.U. (hereinafter, SOLARPACK), of exclusive control over SOLAER HOLDING, S.L. (hereinafter, SOLAER). In accordance with the report and proposal submitted by the Competition Directorate, the Competition Chamber has resolved, applying Article 57.2.a) of the aforementioned Law 15/2007, of July 3, to authorize the said concentration operation.</w:t>
      </w:r>
    </w:p>
    <w:p>
      <w:r>
        <w:t>Likewise, it is appropriate to analyze the operation taking into account the Communication from the European Commission on restrictions directly linked to the execution of a concentration and necessary for that purpose (2005/C 56/03); this Chamber considers that, in the present case, they are not deemed necessary or ancillary for the operation and are therefore subject to the regulations on agreements between companies:</w:t>
      </w:r>
    </w:p>
    <w:p>
      <w:r>
        <w:t xml:space="preserve">National Commission of Markets and Competition 1 of 2  </w:t>
        <w:br/>
        <w:t xml:space="preserve">C/ Alcalá, 47 – 28014 Madrid - C/ Bolivia, 56 – 08018 Barcelona  </w:t>
        <w:br/>
        <w:t>www.cnmc.es</w:t>
      </w:r>
    </w:p>
    <w:p>
      <w:r>
        <w:t xml:space="preserve">C/1331/22  </w:t>
        <w:br/>
        <w:t xml:space="preserve">SOLARPACK / SOLAER  </w:t>
        <w:br/>
        <w:t xml:space="preserve">• Any limitation on the seller regarding the holding of shares for exclusively financial investment purposes that do not confer directly or indirectly management functions or substantial influence in the competing company, regardless of the percentage of participation involved.  </w:t>
        <w:br/>
        <w:t>• The duration of the confidentiality clause, in all that exceeds two (2) years, insofar as it refers to commercial and technical information necessary for the proper development of the Target.</w:t>
      </w:r>
    </w:p>
    <w:p>
      <w:r>
        <w:t>All of this in accordance with what is indicated in the aforementioned report proposal from the Competition Directorate.</w:t>
      </w:r>
    </w:p>
    <w:p>
      <w:r>
        <w:t>Communicate this Resolution to the Competition Directorate of the National Commission of Markets and Competition and notify the interested party, informing them that this concludes the administrative process and that a contentious-administrative appeal can be filed against it before the National Court, within two months from the day following its notification.</w:t>
      </w:r>
    </w:p>
    <w:p>
      <w:r>
        <w:t xml:space="preserve">The President  </w:t>
        <w:br/>
        <w:t>Cani Fernández Vicién</w:t>
      </w:r>
    </w:p>
    <w:p>
      <w:r>
        <w:t xml:space="preserve">The Secretary of the Council  </w:t>
        <w:br/>
        <w:t>Miguel Bordiu García-Ovies</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