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https://www.cnmc.es/expedientes/c133222</w:t>
      </w:r>
    </w:p>
    <w:p>
      <w:r>
        <w:t>Pages translated : 2</w:t>
      </w:r>
    </w:p>
    <w:p/>
    <w:p>
      <w:r>
        <w:rPr>
          <w:b/>
        </w:rPr>
        <w:t>[Pages 1–2]</w:t>
      </w:r>
    </w:p>
    <w:p>
      <w:r>
        <w:t xml:space="preserve">C/1332/22  </w:t>
        <w:br/>
        <w:t xml:space="preserve">ARCHANGEL ACQUISITIONS / ARCHANGEL AOC COMPANIES  </w:t>
        <w:br/>
        <w:t xml:space="preserve">RESOLUTION  </w:t>
        <w:br/>
        <w:t xml:space="preserve">FILE ARCHANGEL ACQUISITIONS / ARCHANGEL AOC COMPANIES  </w:t>
        <w:br/>
        <w:t xml:space="preserve">(C/1332/22)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on October 5, 2022</w:t>
      </w:r>
    </w:p>
    <w:p>
      <w:r>
        <w:t>The Competition Chamber has analyzed the concentration file processed in accordance with Law 15/2007, of July 3, on the Defense of Competition, consisting of the exclusive control acquisition by ARCHANGEL ACQUISITIONS II S.á. r.l. (“AOC BIDCO”), a vehicle company constituted for the purpose of this operation, of a group of companies acquired through the acquisition of 100% of the shares of these from the company BABCOCK AVIATION SERVICES HOLDING INTERNATIONAL LIMITED (collectively referred to as ARCHANGEL AOC COMPANIES for convenience).</w:t>
      </w:r>
    </w:p>
    <w:p>
      <w:r>
        <w:t>In accordance with the report and proposal submitted by the Competition Directorate, the Competition Chamber has resolved, under the application of Article 57.2.a) of the aforementioned Law 15/2007, of July 3, to authorize the aforementioned concentration operation.</w:t>
      </w:r>
    </w:p>
    <w:p>
      <w:r>
        <w:t xml:space="preserve">National Commission of Markets and Competition 1 of 2  </w:t>
        <w:br/>
        <w:t xml:space="preserve">C/ Alcalá, 47 – 28014 Madrid - C/ Bolivia, 56 – 08018 Barcelona  </w:t>
        <w:br/>
        <w:t>www.cnmc.es</w:t>
      </w:r>
    </w:p>
    <w:p>
      <w:r>
        <w:t xml:space="preserve">C/1332/22  </w:t>
        <w:br/>
        <w:t>ARCHANGEL ACQUISITIONS / ARCHANGEL AOC COMPANIES</w:t>
      </w:r>
    </w:p>
    <w:p>
      <w:r>
        <w:t>It is also appropriate to analyze the operation taking into account the Communication from the European Commission regarding restrictions directly linked to the execution of a concentration and necessary for that purpose (2005/C 56/03); this Chamber considers that, in the present case, the temporal scope (in what exceeds the 2 years established by the Communication), geographical scope (in what exceeds the part where the acquired entity is present), and material scope (in what implies a prohibition of participation in activities of the acquired entity that do not confer control over any competing entity), of the non-competition clause, as well as the material scope of the non-solicitation clause (in relation to its application to the selling party), go beyond what is reasonably required by the notified concentration operation, and are therefore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