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https://www.cnmc.es/expedientes/c133322</w:t>
      </w:r>
    </w:p>
    <w:p>
      <w:r>
        <w:t>Pages translated : 1</w:t>
      </w:r>
    </w:p>
    <w:p/>
    <w:p>
      <w:r>
        <w:rPr>
          <w:b/>
        </w:rPr>
        <w:t>[Pages 1–1]</w:t>
      </w:r>
    </w:p>
    <w:p>
      <w:r>
        <w:t xml:space="preserve">C/1333/22  </w:t>
        <w:br/>
        <w:t xml:space="preserve">CAIXABANK/ SA NOSTRAVIDA  </w:t>
        <w:br/>
        <w:t xml:space="preserve">RESOLUTION  </w:t>
        <w:br/>
        <w:t xml:space="preserve">FILE CAIXABANK/ SA NOSTRAVIDA  </w:t>
        <w:br/>
        <w:t xml:space="preserve">(C/1333/22)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October 19, 2022</w:t>
      </w:r>
    </w:p>
    <w:p>
      <w:r>
        <w:t>The Competition Chamber has analyzed the concentration file processed in accordance with Law 15/2007, of July 3, on the Defense of Competition, consisting of the acquisition by CaixaBank S.A. (hereinafter CAIXABANK) of exclusive control over Sa Nostra Compañía de Seguros de Vida, S.A. (hereinafter, SA NOSTRA VIDA). In accordance with the report and the proposal submitted by the Competition Directorate, the Competition Chamber has resolved, applying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