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https://www.cnmc.es/expedientes/c133422</w:t>
      </w:r>
    </w:p>
    <w:p>
      <w:r>
        <w:t>Pages translated : 2</w:t>
      </w:r>
    </w:p>
    <w:p/>
    <w:p>
      <w:r>
        <w:rPr>
          <w:b/>
        </w:rPr>
        <w:t>[Pages 1–2]</w:t>
      </w:r>
    </w:p>
    <w:p>
      <w:r>
        <w:t xml:space="preserve">C/1334/22  </w:t>
        <w:br/>
        <w:t xml:space="preserve">SONNEDIX / PHOTOVOLTAIC SOLAR PROJECTS  </w:t>
        <w:br/>
        <w:t xml:space="preserve">RESOLUTION  </w:t>
        <w:br/>
        <w:t xml:space="preserve">FILE SONNEDIX / PHOTOVOLTAIC SOLAR PROJECTS  </w:t>
        <w:br/>
        <w:t xml:space="preserve">(C/1334/22)  </w:t>
        <w:br/>
        <w:t xml:space="preserve">COUNCIL. COMPETITION CHAMBER  </w:t>
        <w:br/>
        <w:t xml:space="preserve">President  </w:t>
        <w:br/>
        <w:t xml:space="preserve">Ms. Cani Fernández Vicién  </w:t>
        <w:br/>
        <w:t xml:space="preserve">Counselors  </w:t>
        <w:br/>
        <w:t xml:space="preserve">Ms. María Pilar Canedo Arrillaga  </w:t>
        <w:br/>
        <w:t xml:space="preserve">Mr. Carlos Aguilar Paredes  </w:t>
        <w:br/>
        <w:t xml:space="preserve">Mr. Josep Maria Salas Prat  </w:t>
        <w:br/>
        <w:t xml:space="preserve">Ms. María Jesús Martín Martínez  </w:t>
        <w:br/>
        <w:t xml:space="preserve">Secretary of the Council  </w:t>
        <w:br/>
        <w:t xml:space="preserve">Mr. Miguel Bordiu Garcia-Ovies  </w:t>
        <w:br/>
        <w:t xml:space="preserve">In Madrid, on October 19, 2022  </w:t>
        <w:br/>
        <w:t xml:space="preserve">The Competition Chamber has analyzed the concentration file processed in accordance with Law 15/2007, of July 3, on the Defense of Competition, consisting of the acquisition of exclusive control of a group of 12 companies [CONFIDENTIAL], by Sonnedix B.V. through the companies TRIORA ITG, S.L., SERET ITG S.L., and SIULA ITG S.L. According to the report and the proposal submitted by the Directorate of Competition, the Competition Chamber has resolved, in application of Article 57.2.a) of the aforementioned Law 15/2007, of July 3, to authorize the aforementioned concentration operation.  </w:t>
        <w:br/>
        <w:t xml:space="preserve">Likewise, it is necessary to analyze the operation taking into account the Communication from the European Commission on restrictions directly linked to the execution of a concentration and necessary for that purpose (2005/C 56/03); this Chamber considers that, in the present case, it is neither necessary nor ancillary for the operation, thus being subject to the regulations on agreements between companies, the duration of the confidentiality clause, insofar as it exceeds two (2) years, to the extent that it refers to commercial and technical information necessary for the proper development of the Target.  </w:t>
        <w:br/>
        <w:t xml:space="preserve">All of this in accordance with what is indicated in the aforementioned report proposal from the Directorate of Competition.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