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https://www.cnmc.es/expedientes/c133522</w:t>
      </w:r>
    </w:p>
    <w:p>
      <w:r>
        <w:t>Pages translated : 1</w:t>
      </w:r>
    </w:p>
    <w:p/>
    <w:p>
      <w:r>
        <w:rPr>
          <w:b/>
        </w:rPr>
        <w:t>[Pages 1–1]</w:t>
      </w:r>
    </w:p>
    <w:p>
      <w:r>
        <w:t xml:space="preserve">C/1335/22  </w:t>
        <w:br/>
        <w:t xml:space="preserve">PGGM / RESA  </w:t>
        <w:br/>
        <w:t xml:space="preserve">RESOLUTION  </w:t>
        <w:br/>
        <w:t xml:space="preserve">FILE PGGM / RESA  </w:t>
        <w:br/>
        <w:t xml:space="preserve">(C/1335/22)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November 2, 2022</w:t>
      </w:r>
    </w:p>
    <w:p>
      <w:r>
        <w:t>The Competition Chamber has analyzed the concentration file processed in accordance with Law 15/2007, of July 3, on the Defense of Competition, consisting of the acquisition of exclusive control by PGGM Vermogensbeheer B.V (“PGGM”) over Residencias de Estudiantes, S.L.U. (RESA), Siresa Campus S.L.U. and Siresa House 2 Campus S.L.U. (both jointly “Siresa Companies”). In accordance with the report and the proposal submitted by the Directorate of Competition, the Competition Chamber has resolved, in application of Article 57.2.e) and 44.d) of the aforementioned Law 15/2007, of July 3, to agree to the filing of the proceedings.</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